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P/25151/2019 vom 7. Oktober 2020</w:t>
      </w:r>
    </w:p>
    <w:p>
      <w:r>
        <w:t>GE Cour de justice, 2020-10-07, FR</w:t>
      </w:r>
    </w:p>
    <w:p>
      <w:r>
        <w:rPr>
          <w:b/>
        </w:rPr>
        <w:t xml:space="preserve">Quelle: </w:t>
      </w:r>
      <w:r>
        <w:t>https://mcp.opencaselaw.ch/entscheid/ge_gerichte_P_25151_2019</w:t>
      </w:r>
    </w:p>
    <w:p>
      <w:r>
        <w:t>FR: GE_GERICHTE P/25151/2019 du 7 octobre 2020</w:t>
      </w:r>
    </w:p>
    <w:p>
      <w:r>
        <w:t>IT: GE_GERICHTE P/25151/2019 del 7 ottobre 2020</w:t>
      </w:r>
    </w:p>
    <w:p>
      <w:pPr>
        <w:pStyle w:val="Heading2"/>
      </w:pPr>
      <w:r>
        <w:t>Regeste</w:t>
      </w:r>
    </w:p>
    <w:p>
      <w:r>
        <w:t>CP.49; CP.66b</w:t>
      </w:r>
    </w:p>
    <w:p>
      <w:pPr>
        <w:pStyle w:val="Heading2"/>
      </w:pPr>
      <w:r>
        <w:t>Erwägungen</w:t>
      </w:r>
    </w:p>
    <w:p>
      <w:r>
        <w:rPr>
          <w:b/>
        </w:rPr>
        <w:t>E. 1</w:t>
      </w:r>
    </w:p>
    <w:p>
      <w:r>
        <w:t>1.1.1. 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1.1.2. Selon l'art. 399 al. 3 CPP, dans sa déclaration d'appel, la partie indique si elle entend attaquer le jugement dans son ensemble ou seulement sur certaines parties (let. a), les modifications du jugement de première instance qu'elle demande (let. b) et ses réquisitions de preuves (let. c).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w:t>
      </w:r>
    </w:p>
    <w:p>
      <w:r>
        <w:rPr>
          <w:b/>
        </w:rPr>
        <w:t>E. 1.2</w:t>
      </w:r>
    </w:p>
    <w:p>
      <w:r>
        <w:t>Dans sa déclaration d'appel, l'appelant, assisté d'un avocat, conclut principalement à son acquittement des chefs de violence et menace contre les autorités et les fonctionnaires, vol, tentative de vol et dommages à la propriété. Subsidiairement, il conclut au prononcé d'une peine privative de liberté de 12 mois et à ce que la durée de l'expulsion soit réduite à dix ans, frais à la charge de l'Etat. Lors de l'audience d'appel, il a sollicité, en sus, la restitution de la veste saisie et portée l'inventaire du 5 décembre 2019 sous pièce 31. Ce faisant, il a élargi ses conclusions d'appel de manière irrecevable. Ainsi, la CPAR limitera son examen aux points attaqués dans la déclaration d'appel, qui fixe le cadre des débats, soit à sa culpabilité en lien avec les faits visés dans l'ordonnance pénale du 23 août 2018 et aux points B.III.5, B.I.1, B.III.6, B.II.3, B.III.7, B.II.4 et B.III.8 de l'acte d'accusation du 9 mars 2020, la peine et la durée de l'expulsion.</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2.1.2.1. La CPAR retient les faits suivants qu'elle considère comme établis : 2.1.2.2. Le 1 er avril 2018 vers 17h30, alors qu'il revenait de cellule forte escorté de trois gardiens, dont le plaignant, l'appelant a refusé de réintégrer sa cellule ordinaire. Il admet cet état de faits, mais affirme que les gardiens se seraient alors montrés violents à son égard, tandis que lui-même n'aurait pas fait preuve d'agressivité. Au contraire, les déclarations des trois gardiens s'accordent sur le fait que l'appelant était particulièrement agité et qu'il menaçait de tout casser dans sa cellule, soit notamment la télévision, ce qui les a contraints à user de la force pour tenter de le maitriser, jusqu'à ce qu'il se retourne, puis assène à tout le moins un coup de coude au visage du plaignant. Il n'y a pas lieu de douter de ces affirmations dès lors qu'elles ont été constantes et cohérentes, au contraire de celles de l'appelant, qui n'a eu de cesse jusqu'en appel d'adapter son récit. S'ajoute à cela que l'intimé s'est rendu à la clinique S______ à 17h50, soit moins de trente minutes après les faits et que le rapport médical fait état de deux zones contusionnées rouges au niveau de la pommette et de la tempe ainsi que d'une commotion cérébrale. De telles lésions ne peuvent, d'une part, qu'avoir été causées dans le cadre de cette altercation vu l'heure à laquelle l'intimé a quitté son poste pour se rendre aux urgences et, d'autre part, qu'avoir consisté en un ou plusieurs coups particulièrement violents. Au vu de ce qui précède, la CPAR a acquis la conviction que l'appelant, agité et énervé, a refusé d'entrer dans sa cellule, a menacé de tout y casser, puis a opposé de la résistance aux gardiens, pour enfin donner intentionnellement un coup de coude dans la tête de l'intimé G______ et lui causer les lésions évoquées supra . 2.1.2.3. Le 30 octobre 2019,dans le parking souterrain sis [no.] ______, rue 2______ à Genève,les vitres de deuxvéhicules ont été brisées, la bâche d'un véhicule a été lacérée et des objets et valeurs y ont été dérobés. L'appelant a nié de manière constante être l'auteur de ces faits. Il a toutefois varié dans ses déclarations s'agissant de sa présence sur les lieux, assurant à la police, au MP et devant la CPAR ne jamais s'y être trouvé, tout en admettant le contraire devant le TP. Il en va de même de ses liens avec K______, qu'il n'a admis connaître qu'au stade de l'audience de confrontation. Même si cette dernière a tenu des propos inconstants, elle a toutefois toujours déclaré avoir agi avec un individu, qu'elle a identifié par la suite en la personne de l'appelant. Cette version des faits est corroborée par la présence des profils ADN des deux protagonistes sur les ciseaux retrouvés à côté du véhicule dont la bâche a été découpée et par celle du sang de K______ à l'intérieur de celui-ci. Les explications de l'appelant s'agissant des ciseaux ne sont pas crédibles et n'expliquent pas comment ils auraient pu se retrouver dans le parking ou en possession de K______. A cela s'ajoute encore le fait que le jour des faits l'appelant bénéficiait d'un sauf-conduit lui permettant notamment de se rendre à la Poste des X______, qui se situe à proximité du parking de la rue 2______. Au regard des éléments qui précèdent, la CPAR considère comme établi que l'appelant s'est bien trouvé dans le parking en question le 30 octobre 2019, où il a, de concert avec K______, commis les infractions décrites dans l'acte d'accusation. Ils ont agi de concert, en acceptant pleinement les agissements de l'autre et en y prenant part et il importe dès lors peu de déterminer le rôle de chacun. 2.1.2.4. Le 5 décembre 2019, l'appelant a été interpellé à 750m de la cave de l'intimé F______ en possession des bouteilles et des sacs qu'il y avait dérobés. L'appelant, arrêté en flagrant délit, a admis être l'auteur de ces vols mais a toutefois persisté à contester avoir fracturé la porte d'entrée de ladite cave. Ses déclarations à cet égard ont été fluctuantes, puisqu'il a tantôt affirmé qu'elle était déjà entrouverte à son arrivée, tantôt l'avoir ouverte mais sans la forcer. Aucune de ces différentes versions n'est crédible, aucune autre porte n'ayant été fracturée et la totalité des biens dérobés dans la cave ayant été retrouvés en sa possession. En présence d'un faisceau d'indices concordants, la Cour a acquis la conviction que l'appelant est l'auteur des dommages constatés sur les lattes, le cadre et la serrure de la porte de cette cave.</w:t>
      </w:r>
    </w:p>
    <w:p>
      <w:r>
        <w:rPr>
          <w:b/>
        </w:rPr>
        <w:t>E. 3</w:t>
      </w:r>
    </w:p>
    <w:p>
      <w:r>
        <w:t>3.1.1. L'art. 285 CP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L'art. 285 CP n'est pas applicable si l'auteur règle un compte privé avec le fonctionnaire, mais à un moment où celui-ci est en fonction (ATF 110 IV 91 consid. 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3.1.2.1.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3.1.2.2.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3.1.3. Un concours parfait est envisageable entre les art. 285 et 122 ss CP (M. DUPUIS / L. MOREILLON / C. PIGUET / S. BERGER / M. MAZOU / V. RODIGARI (éds), Code pénal - Petit commentaire , 2 e éd., Bâle 2017, n. 23 ad art. 285 ; B. CORBOZ, op. cit. , n. 29 ad art. 285).</w:t>
      </w:r>
    </w:p>
    <w:p>
      <w:r>
        <w:rPr>
          <w:b/>
        </w:rPr>
        <w:t>E. 3.2</w:t>
      </w:r>
    </w:p>
    <w:p>
      <w:r>
        <w:t>En l'espèce, en refusant de regagner sa cellule, en opposant physiquement résistance aux gardiens - dont l'un a été blessé durant l'intervention - et en les contraignant à faire usage de la force, l'appelant a fait preuve de violence à l'encontre de fonctionnaires et, par son comportement, a rendu plus difficile pour ces derniers l'accomplissement d'un acte entrant dans leurs fonctions. Il sera ainsi reconnu coupable d'infraction à l'art. 285 CP. En donnant un coup de coude violent à la tête de l'intimé G______ et en lui occasionnant une commotion cérébrale, l'appelant s'est également rendu coupable de lésions corporelles simples. L'appel sera ainsi rejeté sur ces points.</w:t>
      </w:r>
    </w:p>
    <w:p>
      <w:r>
        <w:rPr>
          <w:b/>
        </w:rPr>
        <w:t>E. 4</w:t>
      </w:r>
    </w:p>
    <w:p>
      <w:r>
        <w:t>4.1.1. Commet un vol au sens de l'art. 139 CP, celui qui, pour se procurer ou procurer à un tiers un enrichissement illégitime, aura soustrait une chose mobilière appartenant à autrui dans le but de se l'approprier. 4.1.2. Selon l'art. 144 al. 1 CP, se rend coupable de dommages à la propriété celui qui aura endommagé, détruit ou mis hors d'usage une chose appartenant à autrui ou frappée d'un droit d'usage ou d'usufruit au bénéfice d'autrui et sera puni sur plainte. 4.1.3. 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4.2</w:t>
      </w:r>
    </w:p>
    <w:p>
      <w:r>
        <w:t>Il y a tentative lorsque l'auteur a réalisé tous les éléments subjectifs de l'infraction et manifesté sa décision de la commettre, alors que les éléments objectifs font, en tout ou en partie, défaut (ATF 140 IV 150 consid. 3.4 p. 152). 4.3.1. En l'espèce, le 30 octobre 2019 l'appelant, de concert avec K______, a endommagé les véhicules des intimés, P______, D______ et E______ en brisant les vitres des deux premiers et en tailladant la bâche du troisième, faits constitutifs de dommages à la propriété. Il a agi dans le but de dérober des biens ou valeurs, ce qu'il est parvenu à faire dans le véhicule de l'intimé E______ en emportant deux porte-monnaie en cuir, dont l'un était de la marque M______, une paire de lunettes de vue ainsi que CHF 100.- et EUR 50.- en espèces, faits constitutifs de vol. Il n'a rien dérobé dans les véhicules des deux autres intimés, l'infraction étant ainsi restée au stade de la tentative. Sa culpabilité de ces chefs sera partant confirmée et l'appel rejeté sur ce point. 4.3.2. Le 5 décembre 2019, l'appelant a pénétré dans la cave de l'intimé F______ et y a dérobé des sacs et des bouteilles. Pour ce faire, il a endommagé les lattes, le cadre et la serrure de la porte, se rendant ainsi coupable de dommages à la propriété. L'appel sera rejeté sur ce point également.</w:t>
      </w:r>
    </w:p>
    <w:p>
      <w:r>
        <w:rPr>
          <w:b/>
        </w:rPr>
        <w:t>E. 5</w:t>
      </w:r>
    </w:p>
    <w:p>
      <w:r>
        <w:t>5.1. Le vol (art. 139 ch. 1 CP) est passible d'une peine privative de liberté de cinq ans au plus ou d'une peine pécuniaire, tandis que les dommages à la propriété (art. 144 al. 1 CP), la violation de domicile (art. 186 CP), les lésions corporelles simples (art. 123 ch. 1 CP), la violence ou menace contre les autorités ou les fonctionnaires (art. 285 ch. 1 al. 1 CP), la rupture de ban (art. 291 al. 1 CP) et l'infraction à l'art. 119 al. 1 LEI sont réprimées par 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5.3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 127 IV 101 consid. 2b p. 103 ; arrêt du Tribunal fédéral 6B_445/2016 du 5 juillet 2017 consid. 6.1.1 ; 6B_42/2015 du 22 juillet 2015 consid. 2.4.1). 5.4.1.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5.4.2.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w:t>
      </w:r>
    </w:p>
    <w:p>
      <w:r>
        <w:rPr>
          <w:b/>
        </w:rPr>
        <w:t>E. 5.5</w:t>
      </w:r>
    </w:p>
    <w:p>
      <w:r>
        <w:t>Depuis le 1 er janvier 2018, le juge ne peut prononcer une peine privative de liberté que s'il y a lieu d'admettre qu'une peine pécuniaire ne paraît pas justifiée pour détourner l'auteur d'autres crimes ou délits ou s'il y a lieu de craindre qu'une peine pécuniaire ne puisse pas être exécutée (art. 41 al. 1 let. a et b CP). Le juge doit motiver le choix de la peine privative de liberté de manière circonstanciée (al. 2).</w:t>
      </w:r>
    </w:p>
    <w:p>
      <w:r>
        <w:rPr>
          <w:b/>
        </w:rPr>
        <w:t>E. 5.6</w:t>
      </w:r>
    </w:p>
    <w:p>
      <w:r>
        <w:t>En l'espèce, la faute de l'appelant est importante. S'agissant des infractions commises le 1 er avril 2018, il s'en est pris à des biens juridiques importants, soit l'intégrité physique et l'autorité publique. Pour le reste, il a porté atteinte à la propriété d'autrui à plusieurs reprises et à environ un mois d'intervalle. Il a systématiquement emporté tous les biens qu'il trouvait et qu'il était en mesure de transporter, soit notamment près de quarante bouteilles de vin et de champagne à lui tout seul. Il est demeuré illégalement sur le territoire suisse durant une période pénale de plusieurs mois alors qu'il se savait sous le coup d'une expulsion pour une durée de huit ans, étant relevé qu'il s'est physiquement opposé, en novembre 2019, à son renvoi par avion. Il a en outre fait fi de l'interdiction de quitter le territoire de la commune de R______ dont il savait faire l'objet en se rendant notamment à Q______, où il a commis certaines des infractions retenues dans le présent jugement. Ces agissements démontrent une volonté délictuelle accrue et persistante, laquelle subsiste même en détention. Ses mobiles, purement égoïstes, relevaient d'une impulsivité mal maitrisée, de l'appât du gain ainsi que d'un mépris flagrant pour l'autorité. Sa collaboration a été mauvaise puisqu'il n'a eu de cesse de maintenir sa version, tout en l'adaptant en fonction de l'évolution du dossier. De cette persévérance, doublée de sa tendance à la victimisation, découle une prise de conscience nulle. Sa situation personnelle peut expliquer partiellement ses actes, sans les justifier, celle-ci résultant en grande partie de son refus de quitter un pays où il séjourne illégalement et n'a aucune perspective de vie dans des conditions régulières. Bien qu'il travaille en prison il n'a aucun projet concret pour sa sortie, si ce n'est, à le suivre, celui de se marier en France et de se rendre en Suède, alors même qu'il ne dispose pas des papiers indispensables pour ce faire. Ses antécédents, nombreux, en bonne partie spécifiques et s'étendant sur plus de six années, témoignent de son ancrage dans la délinquance. Il y a concours d'infractions, facteur aggravant de la peine. L'appelant ne conteste à bon escient ni le genre de peine, ni le refus d'octroi du sursis. En effet, vu ses nombreuses récidives, qui démontrent une sérieuse imperméabilité à la sanction pénale, ainsi que sa situation personnelle précaire, le pronostic est incontestablement négatif et le prononcé d'une peine privative de liberté ferme se justifie. Les infractions retenues dans la présente procédure remontent au 1 er avril 2018 pour l'altercation en cellule, au 30 octobre 2019 pour les faits s'étant déroulés dans le parking, au 5 décembre 2019 pour ce qui est de la cave de Q______ et de la violation de l'interdiction de quitter la commune de R______ ainsi qu'à la période allant du 26 juillet au 5 décembre 2019 pour la rupture de ban. Les premiers agissements - ceux commis à H______ - sont antérieurs à la condamnation du 20 avril 2018, par laquelle une peine privative de liberté de 45 jours ainsi qu'une amende de CHF 200.- ont été infligées à l'appelant. Les autres infractions ont été commises antérieurement à la condamnation du 13 août 2020, par laquelle l'appelant s'est vu infliger une peine privative de liberté de 60 jours. Compte tenu de ce qui précède, la CPAR doit fixer une peine complémentaire. A cet égard, les nouveaux actes à juger comprennent l'infraction abstraitement la plus grave, soit celle de vol. Ils doivent donc servir de référence pour la fixation de la peine de base, qui sera aggravée pour tenir compte des deux autres condamnations. Le vol des bouteilles de vin, infraction abstraitement la plus grave par rapport au vol commis dans le parking, emporte à elle seule une peine de l'ordre de trois mois. Cette peine doit être aggravée de deux mois pour le vol commis dans le parking (peine théorique de 75 jours), d'un mois (peine théorique de 45 jours) pour les tentatives de vol, de deux mois (peine théorique de trois mois) pour les dommages à la propriété, d'un mois (peine théorique de 45 jours) pour la violation de domicile, de deux mois pour l'infraction de violence ou menace contre les autorités et les fonctionnaires (peine hypothétique de trois mois), de trois mois pour les lésions corporelles simples (peine hypothétique de quatre mois), de trois mois pour la rupture de ban (peine hypothétique de quatre mois, vu la récidive) et de deux mois pour la violation de l'art. 119 al. 1 LEI (peine hypothétique de 75 jours). Cette peine doit être aggravée d'un mois (peine théorique : 45 jours) pour les faits faisant l'objet de la condamnation du 20 avril 2018, et d'un mois supplémentaire (peine théorique : deux mois) pour ceux faisant l'objet de la condamnation du 13 août 2020. La peine d'ensemble doit ainsi être fixée à 21 mois. L'appelant ayant déjà été condamné à une peine totale de 3 mois et 15 jours, la peine complémentaire doit donc être arrêtée à 17 mois et 15 jours. Dans la mesure où la CPAR est liée par le principe de la reformatio in pejus , c'est en définitive une peine privative de liberté complémentaire ferme de 15 mois qui sera prononcée, le jugement entrepris étant confirmé sur ce point et l'appel rejeté sur ce point également (art. 391 al. 2 CPP). Pour le même motif, la renonciation à la révocation du sursis octroyé le 22 mars 2016 par le Tribunal correctionnel de Genève est acquise à l'appelant. La prolongation d'un an du délai d'épreuve, initialement fixé à quatre ans, sera toutefois confirmée tout comme l'avertissement à signifier à l'appelant (art. 46 al. 2 CP).</w:t>
      </w:r>
    </w:p>
    <w:p>
      <w:r>
        <w:rPr>
          <w:b/>
        </w:rPr>
        <w:t>E. 6</w:t>
      </w:r>
    </w:p>
    <w:p>
      <w:r>
        <w:t>6.1. A teneur de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w:t>
      </w:r>
    </w:p>
    <w:p>
      <w:r>
        <w:rPr>
          <w:b/>
        </w:rPr>
        <w:t>E. 6.2</w:t>
      </w:r>
    </w:p>
    <w:p>
      <w:r>
        <w:t>En l'espèce, l'appelant ne plaide pas, à bon escient, la clause de rigueur, puisqu'il ne peut se prévaloir ni d'attaches particulières avec la Suisse, ni d'une intégration réussie et que la durée de son séjour dans ce pays s'est déroulée en majorité en détention. Il sollicite toutefois que la durée de son expulsion soit abaissée à dix ans. Or l'appelant a commis les faits justifiant le prononcé d'une nouvelle expulsion alors qu'une expulsion obligatoire avait déjà été prononcée à son encontre le 15 janvier 2019 pour une durée de huit ans et était encore en force. Le premier juge a dès lors valablement ordonné la nouvelle expulsion obligatoire pour une durée de 20 ans, étant relevé qu'il aurait pu la prononcer à vie. Il n'y a pas lieu d'étendre la mesure prononcée à l'ensemble de l'espace Schengen, l'expulsion du territoire suisse suffisant à atteindre le but recherché.</w:t>
      </w:r>
    </w:p>
    <w:p>
      <w:r>
        <w:rPr>
          <w:b/>
        </w:rPr>
        <w:t>E. 7</w:t>
      </w:r>
    </w:p>
    <w:p>
      <w:r>
        <w:t>Les motifs ayant conduit le premier juge à prononcer, par ordonnance séparée du 24 avril 2020, le maintien de l'appelant en détention pour des motifs de sûreté sont toujours d'actualité, ce que celui-ci ne conteste au demeurant pas, de sorte que la mesure sera reconduite mutatis mutandis (ATF 139 IV 277 consid. 2.2 à 2.3).</w:t>
      </w:r>
    </w:p>
    <w:p>
      <w:r>
        <w:rPr>
          <w:b/>
        </w:rPr>
        <w:t>E. 8.1</w:t>
      </w:r>
    </w:p>
    <w:p>
      <w:r>
        <w:t>L'appelant, qui succombe, supportera les frais de la procédure envers l'État en CHF 2'195.-, comprenant un émolument de jugement de CHF 1'800.- (art. 428 CPP).</w:t>
      </w:r>
    </w:p>
    <w:p>
      <w:r>
        <w:rPr>
          <w:b/>
        </w:rPr>
        <w:t>E. 8.2</w:t>
      </w:r>
    </w:p>
    <w:p>
      <w:r>
        <w:t>Vu l'issue de son appel, les frais de première instance en CHF 4'532.-, y compris l'émolument complémentaire de jugement de CHF 1'000.-, seront laissés à sa charge dans leur totalité (art. 426 CPP).</w:t>
      </w:r>
    </w:p>
    <w:p>
      <w:r>
        <w:rPr>
          <w:b/>
        </w:rPr>
        <w:t>E. 9.1</w:t>
      </w:r>
    </w:p>
    <w:p>
      <w:r>
        <w:t>Considéré globalement, l'état de frais produit par M e D______, défenseur d'office de A______ satisfait les exigences légales et jurisprudentielles régissant l'assistance judiciaire gratuite en matière pénale. Il convient d'y ajouter une heure et 20 minutes correspondant à la durée de l'audience et CHF 100.- à titre de déplacement au et du Palais de justice. La rémunération de M e D______ sera partant arrêtée à CHF 2'778.65 correspondant à 10 heures et 20 minutes d'activité au tarif de CHF 200.-/heure (CHF 2'066.65) plus la majoration forfaitaire de 20% (CHF 413.35), le déplacement à l'audience d'appel (CHF 100.-) et l'équivalent de la TVA au taux de 7.7% en CHF 198.65.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