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P/25146/2024 vom 17. Juni 2025</w:t>
      </w:r>
    </w:p>
    <w:p>
      <w:r>
        <w:t>GE Cour de justice, 2025-06-17, FR</w:t>
      </w:r>
    </w:p>
    <w:p>
      <w:r>
        <w:rPr>
          <w:b/>
        </w:rPr>
        <w:t xml:space="preserve">Quelle: </w:t>
      </w:r>
      <w:r>
        <w:t>https://mcp.opencaselaw.ch/entscheid/ge_gerichte_P_25146_2024</w:t>
      </w:r>
    </w:p>
    <w:p>
      <w:r>
        <w:t>FR: GE_GERICHTE P/25146/2024 du 17 juin 2025</w:t>
      </w:r>
    </w:p>
    <w:p>
      <w:r>
        <w:t>IT: GE_GERICHTE P/25146/2024 del 17 giugno 2025</w:t>
      </w:r>
    </w:p>
    <w:p>
      <w:pPr>
        <w:pStyle w:val="Heading2"/>
      </w:pPr>
      <w:r>
        <w:t>Regeste</w:t>
      </w:r>
    </w:p>
    <w:p>
      <w:r>
        <w:t>SÉQUESTRE(MESURE PROVISIONNELLE);BANQUE;TIERS;CONSULTATION DU DOSSIER;PROPORTIONNALITÉ | CPP.197; CPP.263; CPP.101; CPP.105.al1.letf</w:t>
      </w:r>
    </w:p>
    <w:p>
      <w:pPr>
        <w:pStyle w:val="Heading2"/>
      </w:pPr>
      <w:r>
        <w:t>Erwägungen</w:t>
      </w:r>
    </w:p>
    <w:p>
      <w:r>
        <w:rPr>
          <w:b/>
        </w:rPr>
        <w:t>E. 1</w:t>
      </w:r>
    </w:p>
    <w:p>
      <w:r>
        <w:t>1.1. Le recours est déposé selon la forme prescrite (art. 385 al. 1 CPP), concerne une décision sujette à recours auprès de la Chambre de céans (art. 393 al. 1 let. a CPP) et émane du tiers saisi (art. 105 al. 1 let. f CPP) qui, titulaire de la relation bancaire visée, a qualité pour agir, ayant un intérêt juridiquement protégé à la modification ou à l'annulation de la décision querellée (art. 105 al. 2 et 382 al. 1 CPP). 1.2.1. 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 la loi prévoit une notification écrite ultérieure des décisions, le début du délai se calcule selon l'art. 384 let. b CPP (arrêts du Tribunal fédéral 1B_537/2019 du 25 novembre 2020, consid. 4.2; 1B_210/2014 du 17 décembre 2014 consid. 5.2 et 5.4 et les références citées). Le fardeau de la preuve de la notification et de la date de celle-ci incombe en principe à l'autorité (ATF 142 IV 125 consid. 4.3), et celle-ci supporte les conséquences de l'échec de la preuve lorsque la notification est contestée (ATF 129 I 8 consid. 2.2; 124 V 400 consid. 2a). 1.2.2. En l'espèce, l'ordonnance de séquestre du 17 juin 2025 a été notifiée par le Ministère public à la seule banque concernée, à laquelle il n'a pas été fait interdiction de communiquer la mesure aux titulaires des comptes visés. La recourante allègue en avoir eu connaissance par la banque le 9 juillet 2025. Partant, son recours, expédié le 18 juillet 2025, l'a été dans le délai prescrit (art. 396 al. 1 CPP) et est donc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recours est circonscrit à l'ordonnance de séquestre du 17 juin 2025 signifiée à C______, de sorte que la recourante ne saurait, par ce biais, contester d'éventuels autres séquestres auprès d'autres banques.</w:t>
      </w:r>
    </w:p>
    <w:p>
      <w:r>
        <w:rPr>
          <w:b/>
        </w:rPr>
        <w:t>E. 4</w:t>
      </w:r>
    </w:p>
    <w:p>
      <w:r>
        <w:t>La recourante ayant reçu copie de l'ordonnance de séquestre du 17 juin 2025, sa conclusion tendant à sa transmission n'a plus d'objet.</w:t>
      </w:r>
    </w:p>
    <w:p>
      <w:r>
        <w:rPr>
          <w:b/>
        </w:rPr>
        <w:t>E. 5</w:t>
      </w:r>
    </w:p>
    <w:p>
      <w:r>
        <w:t>La recourante persiste à demander l'accès au dossier, malgré le refus du Ministère public.</w:t>
      </w:r>
    </w:p>
    <w:p>
      <w:r>
        <w:rPr>
          <w:b/>
        </w:rPr>
        <w:t>E. 5.1</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En tant que personne touchée par un acte de procédure au sens de l'art. 105 al. 1 let. f CPP, la recourante peut se voir reconnaître la qualité de partie dans la mesure nécessaire à la sauvegarde de ses intérêts (art. 105 al. 2 CPP). À ce titre, elle ne saurait prétendre à un droit à la consultation de l'intégralité du dossier de la procédure pénale, mais uniquement aux éléments du dossier pertinents pour l'exercice de ses droits de défense (arrêt du Tribunal fédéral 1B_593/2012 du 14 décembre 2012 consid. 2.2; M. NIGGLI / M. HEER / H. WIPRÄCHTIGER, Schweizerische Strafprozessordnung / Schweizerische Jugendstrafprozessordnung, Basler Kommentar StPO/JStPO , Bâle 2011, n.°29 ad art. 105).</w:t>
      </w:r>
    </w:p>
    <w:p>
      <w:r>
        <w:rPr>
          <w:b/>
        </w:rPr>
        <w:t>E. 5.2</w:t>
      </w:r>
    </w:p>
    <w:p>
      <w:r>
        <w:t>Même si la qualité de partie lui est reconnue en application de l'art. 105 al. 2 CPP, la recourante n'a pas pour autant le droit de consulter le dossier à ce stade de la procédure. L'art. 101 al. 1 CPP prévoit en effet que les parties peuvent consulter le dossier "au plus tard après la première audition du prévenu et l'administration des preuves essentielles". Or, en l'occurrence, l'instruction n'en étant qu'à ses débuts, aucun prévenu n'a encore été entendu à ce stade et il n’apparaît pas que les preuves essentielles aient été administrées.</w:t>
      </w:r>
    </w:p>
    <w:p>
      <w:r>
        <w:rPr>
          <w:b/>
        </w:rPr>
        <w:t>E. 6</w:t>
      </w:r>
    </w:p>
    <w:p>
      <w:r>
        <w:t>La recourante estime que les conditions du séquestre ne sont pas réalisées, faute de lien économique entre elle et D______, qui n'était plus organe ni ayant droit économique de la société.</w:t>
      </w:r>
    </w:p>
    <w:p>
      <w:r>
        <w:rPr>
          <w:b/>
        </w:rPr>
        <w:t>E. 6.1</w:t>
      </w:r>
    </w:p>
    <w:p>
      <w:r>
        <w:t>Conformément à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 si la mesure porte atteinte aux droits fondamentaux de personnes qui n’ont pas le statut de prévenu, une retenue particulière doit être observée (art. 197 al. 2 CPP). Au sens de l’art. 263 al. 1 CPP, le séquestre de valeurs patrimoniales appartenant au prévenu ou à des tiers figure au nombre des mesures prévues par la loi et peut être ordonné notamment lorsqu'il est probable qu'elles seront utilisées comme moyens de preuves (let. a), qu'elles devront être restituées au lésé (let. c) ou qu'elles devront être confisquées (let. d).</w:t>
      </w:r>
    </w:p>
    <w:p>
      <w:r>
        <w:rPr>
          <w:b/>
        </w:rPr>
        <w:t>E. 6.2</w:t>
      </w:r>
    </w:p>
    <w:p>
      <w:r>
        <w:t>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De même, il faut pouvoir établir un lien de connexité entre l'objet séquestré et l'infraction poursuivie; en début de procédure, la seule probabilité de ce lien suffit, la mesure devant pouvoir être ordonnée rapidement, ce qui exclut la résolution de questions juridiques complexes. Il importe toutefois là aussi que les présomptions se renforcent au cours de l'enquête (arrêt du Tribunal fédéral 1B_416/2012 du 30 octobre 2012 consid. 2.1 et les arrêts cités; Y. JEANNERET / A. KUHN / C. PERRIER DEPEURSINGE (éds), Commentaire romand du Code de procédure pénale suisse , 2 ème éd., Bâle 2019, n. 22, 25et 26 ad art. 263).</w:t>
      </w:r>
    </w:p>
    <w:p>
      <w:r>
        <w:rPr>
          <w:b/>
        </w:rPr>
        <w:t>E. 6.3</w:t>
      </w:r>
    </w:p>
    <w:p>
      <w:r>
        <w:t>En l'espèce, il existe manifestement à ce stade précoce de l'instruction des soupçons d'infractions pénales suffisants à l'encontre de D______ notamment, lequel conserverait encore des liens financiers avec la recourante. Les pièces produites par cette dernière ne sont en effet pas propres à démentir tout lien économique existant entre elle et l'intéressé, quand bien même ce dernier n'est plus membre du conseil d'administration depuis le 17 octobre 2025, selon l'extrait du registre du commerce produit. Sous l'angle du changement d'actionnariat en effet, il n'est aucunement établi que D______ aurait effectivement vendu la totalité de ses actions de la recourante à H______ GmbH en décembre 2023, la simple lettre de D______ produite ne reflétant tout au plus qu'une simple intention. Le prix de vente des actions n'est pas non plus connu. Enfin, aucune copie du registre des actionnaires et ayant droits économiques à jour n'a été remise. Partant, les conditions posées par les art. 197 et 263 CPP sont remplies. Le séquestre apparaît également conforme au principe de la proportionnalité, la recourante ayant été autorisée par le Ministère public à lui soumettre des demandes de "n'empêche" pour le paiement de ses factures usuelles, de sorte que la poursuite de ses activités commerciales demeure préservée.</w:t>
      </w:r>
    </w:p>
    <w:p>
      <w:r>
        <w:rPr>
          <w:b/>
        </w:rPr>
        <w:t>E. 7</w:t>
      </w:r>
    </w:p>
    <w:p>
      <w:r>
        <w:t>Le recours sera ainsi rejeté.</w:t>
      </w:r>
    </w:p>
    <w:p>
      <w:r>
        <w:rPr>
          <w:b/>
        </w:rPr>
        <w:t>E. 8</w:t>
      </w:r>
    </w:p>
    <w:p>
      <w:r>
        <w:t>La recourante,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