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P/25135/2019 vom 30. November 2020</w:t>
      </w:r>
    </w:p>
    <w:p>
      <w:r>
        <w:t>GE Cour de justice, 2020-11-30, FR</w:t>
      </w:r>
    </w:p>
    <w:p>
      <w:r>
        <w:rPr>
          <w:b/>
        </w:rPr>
        <w:t xml:space="preserve">Quelle: </w:t>
      </w:r>
      <w:r>
        <w:t>https://mcp.opencaselaw.ch/entscheid/ge_gerichte_P_25135_2019</w:t>
      </w:r>
    </w:p>
    <w:p>
      <w:r>
        <w:t>FR: GE_GERICHTE P/25135/2019 du 30 novembre 2020</w:t>
      </w:r>
    </w:p>
    <w:p>
      <w:r>
        <w:t>IT: GE_GERICHTE P/25135/2019 del 30 novembre 2020</w:t>
      </w:r>
    </w:p>
    <w:p>
      <w:pPr>
        <w:pStyle w:val="Heading2"/>
      </w:pPr>
      <w:r>
        <w:t>Regeste</w:t>
      </w:r>
    </w:p>
    <w:p>
      <w:r>
        <w:t>SOUPÇON | CPP.310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de non-entrée en matière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avoir mis en évidence des soupçons fondés de gestion déloyale (art. 158 CP) .</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ce qui est notamment le cas lors de contestations purement civiles (ATF 137 IV 285 consid. 2.3. p. 287).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e éd., Bâle 2019, n. 9 ad art. 310; R. PFISTER-LIECHTI (éd.), La procédure pénale fédérale, Fondation pour la formation continue des juges suisses, Berne 2010, p. 62; DCPR/85/2011 du 27 avril 2011).</w:t>
      </w:r>
    </w:p>
    <w:p>
      <w:r>
        <w:rPr>
          <w:b/>
        </w:rPr>
        <w:t>E. 3.2</w:t>
      </w:r>
    </w:p>
    <w:p>
      <w:r>
        <w:t>L'art. 158 CP (gestion déloyale) punit le gérant d'affaires qui - en agissant avec (ch. 1 al. 2) ou sans (ch. 1 al. 1) dessein d'enrichissement illégitime - viole les devoirs auxquels il est tenu et, ce faisant, porte atteinte aux intérêts pécuniaires du tiers pour le compte duquel il intervient. Seul peut commettre un acte de gestion déloyale un gérant d'affaires, soit une personne bénéficiant d'un pouvoir de disposition autonome sur les biens qu'elle administre (arrêt du Tribunal fédéral 6B_819/2018 du 25 janvier 2019 consid. 3.6.1).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et les arrêts cités).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 ATF 120 IV 190 consid. 2b p. 193 ; ATF 105 IV 307 consid. 3 p. 312 s.), ce qui implique de déterminer, au préalable et pour chaque situation particulière, le contenu spécifique des devoirs incombant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 du 10 février 2017 consid. 2.3 et les références ; 6B_845/2014 du 16 mars 2015 consid. 3.2 ; 6B_967/2013 du 21 février 2014 consid. 3.2). L'associé gérant d'une société à responsabilité limitée est un gérant, au sens de l'art. 158 CP (arrêt du Tribunal fédéral 6B_278/2012 du 18 février 2013 consid. 2.1.).</w:t>
      </w:r>
    </w:p>
    <w:p>
      <w:r>
        <w:rPr>
          <w:b/>
        </w:rPr>
        <w:t>E. 3.3</w:t>
      </w:r>
    </w:p>
    <w:p>
      <w:r>
        <w:t>En l'espèce, la recourante reproche aux personnes mises en cause de l'avoir « mal géré [e] » (plainte, p. 13). Cette formulation ne saurait conduire en elle-même à une gestion déloyale, au sens qui vient d'être défini. Il faut bien plutôt s'attarder sur les tâches concrètement dévolues aux personnes mises en cause, i.e. à la gestion qui leur était réellement confiée, et sur la déloyauté dont elles auraient fait preuve à cet égard. On comprend de la plainte pénale que les deux associées gérantes étaient chargées de créer une entreprise offrant des services d'aide à domicile. Pour ce faire, il est établi qu'elles ont correctement utilisé les fonds nécessaires à fonder la société et à en constituer le capital social (CHF 20'000.-). La recourante feint d'ignorer ce que cet argent serait devenu par la suite. Or, elle disposait depuis le 26 août 2019 au plus tard, date à laquelle la fiduciaire signalait le surendettement, de la comptabilité ; il ressort clairement du message électronique de ce jour-là (pièce n° 29 jointe à la plainte) que les fonds avaient été affectés aux loyers, frais de notaire, « SIG (D______), etc. ». Le comptable n'y met en évidence aucun abus des gérantes. Les gérantes devaient ensuite obtenir les autorisations nécessaires auprès des services de santé publique. Le dossier n'établit pas qu'elles n'en auraient rien fait, mais, à vrai dire, que d'autres associés s'impatientaient que l'entreprise n'eût pas commencé ses activités sitôt inscrite au Registre du commerce. La recourante, dominée par un bailleur de fonds et un directeur général tous deux ressortissants étrangers non domiciliés à Genève, échoue toutefois à rendre vraisemblable qu'un calendrier contraignant, mais réaliste, avait été réellement imparti à ses deux associées gérantes. Fût-ce le cas qu'à l'évidence, le respect d'une pareille planification ne dépendait pas seulement de la diligence attendue d'elles. Rien ne permet de croire que les gérantes auraient intentionnellement cherché à différer l'obtention des autorisations administratives nécessaires, qui plus est, dans l'intention de causer un préjudice patrimonial à la recourante. Au contraire, elles allèguent, sans être contredites, que le directeur général tardait, lui, à fournir des documents. Enfin, il semble tomber sous le sens que le recrutement de personnel ne se résout pas rapidement, de manière générale, et - surtout - qu'il ne peut être sérieusement lancé avant que l'employeur n'ait acquis la personnalité juridique (art. 779 al. 1 CO). Les trois contrats de travail produits avec la plainte, postérieurs de quelques semaines à l'inscription de la recourante au Registre du commerce, peuvent d'autant moins constituer une déloyauté qu'ils semblent, au contraire, nécessaires à la réalisation des buts de la société. Les gérantes devaient, enfin, ouvrir un compte bancaire au nom de la recourante. Leurs explications sur le refus opposé par deux banques, dont celle qui avait tout d'abord consigné l'argent nécessaire à la libération du capital social, ne sont pas contestées. La recourante produit même les préconisations reçues d'une des gérantes sur les moyens de se conformer à la loi suisse afin de parvenir à ouvrir un compte auprès d'un autre établissement financier (pièce n° 25). Elle ne dit pas quelle suite elle y a donnée. À partir du moment où la recourante était privée de compte bancaire en Suisse et n'était pas autorisée à exercer à Genève - et donc à commencer à y générer un chiffre d'affaires -, les charges courantes, notamment les salaires et loyers, devaient nécessairement être couvertes par d'autres ressources. La recourante se plaint d'avoir découvert des arriérés de cotisations sociales, mais elle n'explique pas avec quelles liquidités les gérantes auraient pu les acquitter (cf. la précision « no current income » à la pièce n° 29, précitée). Les gérantes se plaignent, d'ailleurs, de n'avoir plus perçu de salaire après juin 2019 et plaident à cette fin aux prud'hommes. La recourante n'allègue ni n'établit qu'elle leur aurait fourni, au-delà du capital social qui était strictement celui, minimal, prévu par la loi (art. 773 CO), les moyens financiers de réaliser ses attentes. Pourtant, les salaires accordés aux gérantes - par son directeur général, mais non par les intéressées elles-mêmes, y compris l'augmentation décriée - suffisaient déjà à épuiser à brève échéance l'intégralité du capital, ce qui ne pouvait lui échapper. Dans ce contexte, on ne voit pas quel dommage sérieux ont bien pu causer à la recourante les frais modiques consacrés par les gérantes à des consommations dans des établissements publics ou à des frais de parking ou de voyage (cf. les justificatifs fournis en vrac sous pièces n os 22 et 23 et les récapitulatifs aux pièces n os 18 à 21), d'autant moins que leurs contrats paraissent leur donner droit à la prise en charge de frais de cette nature. On ne voit pas mieux ce que la recourante veut tirer de son état de surendettement à la fin de l'été 2019. Il n'est ni allégué ni établi qu'elle serait tombée en faillite, de sorte qu'un soupçon de banqueroute, au sens de l'art. 165 CP, n'entre pas en considération (et n'est d'ailleurs pas soulevé). Au demeurant, il n'apparaît pas qu'après l'avis de surendettement, donné par la fiduciaire, les gérantes eussent entravé en quoi que ce soit la prise des mesures exigées par l'art. 725 CO (applicable par renvoi de l'art. 820 al. 1 CO). Leur sortie de la société, sur ces entrefaites, n'empêchait pas les associés restants, ou l'organe de révision, de convoquer une assemblée des associés (art. 804, al. 2 ch. 18, et 805, al. 1 et al. 5, ch. 2, CO), voire d'alerter le juge (cf. art. 725 al. 2 et 3 CO). Telle était, du reste, l'exhortation de la fiduciaire dans son message électronique circonstancié du 26 août 2019, précité, dont les autres associés étaient aussi destinataires.</w:t>
      </w:r>
    </w:p>
    <w:p>
      <w:r>
        <w:rPr>
          <w:b/>
        </w:rPr>
        <w:t>E. 3.4</w:t>
      </w:r>
    </w:p>
    <w:p>
      <w:r>
        <w:t>Enfin, sous couvert de déni de justice, la recourante semble, encore que de façon confuse, avoir transformé son grief de vol du matériel de bureau en acte, supplémentaire, de gestion déloyale (mémoire de recours, ch. 22 et 23). Or, en se montrant prêtes à restituer ce matériel et en expliquant l'avoir emporté parce que les locaux loués devaient être évacués, et l'avoir conservé à titre de droit de rétention, les associées gérantes ont montré, d'emblée, qu'elles n'avaient été mues par aucune volonté d'appropriation ni par aucun dessein d'enrichissement illégitime. La recourante n'allègue ni n'établit quelle atteinte à ses intérêts patrimoniaux ni quel dommage lui aurait causés cette privation d'objets. Il suffit d'observer qu'elle n'avait plus, à cette date (11 septembre 2019), aucun moyen d'exercer son activité statutaire, puisqu'elle se retrouvait sans locaux, sans personnel et sans autorisation d'exercer. Pour le surplus, il n'y a pas de déni de justice si l'autorité saisie a statué sur ce qui était demandé, mais dans un sens qui déplaît au justiciable (arrêt du Tribunal fédéral 1C_464/2019 du 5 décembre 2019 consid. 5).</w:t>
      </w:r>
    </w:p>
    <w:p>
      <w:r>
        <w:rPr>
          <w:b/>
        </w:rPr>
        <w:t>E. 4</w:t>
      </w:r>
    </w:p>
    <w:p>
      <w:r>
        <w:t>Faute de soupçon d'une infraction pénale (art. 31 al. 1 let. a CPP) et de mesures probatoires aptes à étayer les accusations portées - la recourante n'ayant pas expliqué ce qu'elle attendrait d'un renvoi de la cause au Ministère public -, le recours est privé de fondement et doit être rejeté. Le litige se résume à une contestation purement civile.</w:t>
      </w:r>
    </w:p>
    <w:p>
      <w:r>
        <w:rPr>
          <w:b/>
        </w:rPr>
        <w:t>E. 5</w:t>
      </w:r>
    </w:p>
    <w:p>
      <w:r>
        <w:t>La recourante, qui succombe, supportera les frais envers l'État, qui seront fixés en totalité à CHF 1'00.- (art. 428 al. 1 CPP et 13 al. 1 du Règlement fixant le tarif des frais en matière pénale, RTFMP;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