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P/25079/2018 vom 9. Oktober 2019</w:t>
      </w:r>
    </w:p>
    <w:p>
      <w:r>
        <w:t>GE Cour de justice, 2019-10-09, FR</w:t>
      </w:r>
    </w:p>
    <w:p>
      <w:r>
        <w:rPr>
          <w:b/>
        </w:rPr>
        <w:t xml:space="preserve">Quelle: </w:t>
      </w:r>
      <w:r>
        <w:t>https://mcp.opencaselaw.ch/entscheid/ge_gerichte_P_25079_2018</w:t>
      </w:r>
    </w:p>
    <w:p>
      <w:r>
        <w:t>FR: GE_GERICHTE P/25079/2018 du 9 octobre 2019</w:t>
      </w:r>
    </w:p>
    <w:p>
      <w:r>
        <w:t>IT: GE_GERICHTE P/25079/2018 del 9 ottobre 2019</w:t>
      </w:r>
    </w:p>
    <w:p>
      <w:pPr>
        <w:pStyle w:val="Heading2"/>
      </w:pPr>
      <w:r>
        <w:t>Regeste</w:t>
      </w:r>
    </w:p>
    <w:p>
      <w:r>
        <w:t>ASSISTANCE JUDICIAIRE;INFRACTIONS CONTRE L'HONNEUR | CPP.310; CP.173; CPP.136; CP.174</w:t>
      </w:r>
    </w:p>
    <w:p>
      <w:pPr>
        <w:pStyle w:val="Heading2"/>
      </w:pPr>
      <w:r>
        <w:t>Erwägungen</w:t>
      </w:r>
    </w:p>
    <w:p>
      <w:r>
        <w:rPr>
          <w:b/>
        </w:rPr>
        <w:t>E. 1</w:t>
      </w:r>
    </w:p>
    <w:p>
      <w:r>
        <w:t>Le recours est recevable pour avoir été déposé selon la forme et dans le délai prescrits (art. 91 al. 4, 385 al. 1 et 396 al. 1 CPP), concerner une ordonnance de non-entrée en matière sujette à recours auprès de la Chambre de céans (art. 310 al. 2 cum 322 al. 2 et 393 al. 1 let. a CPP; art. 128 LOJ/GE),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que les conditions pour le prononcé d'une non-entrée en matière soient réunies.</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w:t>
      </w:r>
    </w:p>
    <w:p>
      <w:r>
        <w:rPr>
          <w:b/>
        </w:rPr>
        <w:t>E. 3.2</w:t>
      </w:r>
    </w:p>
    <w:p>
      <w:r>
        <w:t>Les art. 173 et ss CP protègent la réputation d'être une personne honorable, c'est-à-dire de se comporter comme un individu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l'individu visé au mépris en sa qualité d'homme.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(arrêt du Tribunal fédéral 6B_1202/2018 du 11 janvier 2019 consid. 2.2 et les références citées).</w:t>
      </w:r>
    </w:p>
    <w:p>
      <w:r>
        <w:rPr>
          <w:b/>
        </w:rPr>
        <w:t>E. 3.3</w:t>
      </w:r>
    </w:p>
    <w:p>
      <w:r>
        <w:t>ci-dessus. De surcroît, l'affaire était dénuée de complexité, raison pour laquelle le plaignant a été en mesure de recourir personnellement contre la décision déférée. La requête sera, dans ces circonstances, rejetée.</w:t>
      </w:r>
    </w:p>
    <w:p>
      <w:r>
        <w:rPr>
          <w:b/>
        </w:rPr>
        <w:t>E. 4</w:t>
      </w:r>
    </w:p>
    <w:p>
      <w:r>
        <w:t>Vu l'issue du litige, il n'y a pas lieu de statuer sur les conclusions civiles formulées par le plaignant (art. 126 al. 2 let. a CPP).</w:t>
      </w:r>
    </w:p>
    <w:p>
      <w:r>
        <w:rPr>
          <w:b/>
        </w:rPr>
        <w:t>E. 5</w:t>
      </w:r>
    </w:p>
    <w:p>
      <w:r>
        <w:t>Le recourant sollicite d'être mis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La cause du plaignant ne devant pas être dénuée de toute chance de succès, l'assistance peut être refusée lorsqu'il apparaît d'emblée que la position du requérant est juridiquement infondée (arrêt du Tribunal fédéral 1B_254/2013 du 27 septembre 2013 consid. 2.1.1. et les références citées). Pour juger de la nécessité de la désignation d'un conseil juridique au lésé, il faut que le concours d'un avocat soit objectivement ou subjectivement nécessaire.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5.2</w:t>
      </w:r>
    </w:p>
    <w:p>
      <w:r>
        <w:t>En l'espèce, s'il est établi que le recourant remplit la condition de l'indigence, force est toutefois de constater que la procédure devant la Chambre de céans était d'emblée vouée à l'échec, pour les raisons exposées au considérant</w:t>
      </w:r>
    </w:p>
    <w:p>
      <w:r>
        <w:rPr>
          <w:b/>
        </w:rPr>
        <w:t>E. 6</w:t>
      </w:r>
    </w:p>
    <w:p>
      <w:r>
        <w:t>Le recourant,qui succombe (art. 428 al. 1 CPP), supportera les frais envers l'État relatifs à l'ordonnance attaquée. Ceux-ci seront fixés à CHF 600.- en totalité, émolument de décision inclus (art. 3 cum art. 13 al. 1 Règlement fixant le tarif des frais en matière pénale [RTFMP; E 4 10 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