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P/25071/2022 vom 24. Oktober 2023</w:t>
      </w:r>
    </w:p>
    <w:p>
      <w:r>
        <w:t>GE Cour de justice, 2023-10-24, FR</w:t>
      </w:r>
    </w:p>
    <w:p>
      <w:r>
        <w:rPr>
          <w:b/>
        </w:rPr>
        <w:t xml:space="preserve">Quelle: </w:t>
      </w:r>
      <w:r>
        <w:t>https://mcp.opencaselaw.ch/entscheid/ge_gerichte_P_25071_2022</w:t>
      </w:r>
    </w:p>
    <w:p>
      <w:r>
        <w:t>FR: GE_GERICHTE P/25071/2022 du 24 octobre 2023</w:t>
      </w:r>
    </w:p>
    <w:p>
      <w:r>
        <w:t>IT: GE_GERICHTE P/25071/2022 del 24 ottobre 2023</w:t>
      </w:r>
    </w:p>
    <w:p>
      <w:pPr>
        <w:pStyle w:val="Heading2"/>
      </w:pPr>
      <w:r>
        <w:t>Regeste</w:t>
      </w:r>
    </w:p>
    <w:p>
      <w:r>
        <w:t>ORDONNANCE DE NON-ENTRÉE EN MATIÈRE;VOIES DE FAIT;CONTRAINTE(DROIT PÉNAL);DOMMAGES À LA PROPRIÉTÉ(DROIT PÉNAL) | CPP.310; Cst.29; CP.126; CP.181; CP.144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que c'est à tort que l'autorité précédente a retenu l'absence de prévention pénale suffisante contre le mis en cause des chefs de voies de fait, voire lésions corporelles simples.</w:t>
      </w:r>
    </w:p>
    <w:p>
      <w:r>
        <w:rPr>
          <w:b/>
        </w:rPr>
        <w:t>E. 2.1</w:t>
      </w:r>
    </w:p>
    <w:p>
      <w:r>
        <w:t>À teneur des 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2.2</w:t>
      </w:r>
    </w:p>
    <w:p>
      <w:r>
        <w:t>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2.3</w:t>
      </w:r>
    </w:p>
    <w:p>
      <w:r>
        <w:t>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w:t>
      </w:r>
    </w:p>
    <w:p>
      <w:r>
        <w:rPr>
          <w:b/>
        </w:rPr>
        <w:t>E. 2.4</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(ATF 134 IV 189 consid. 1.3 p. 191 et les références citées) ont également été qualifiées de voies de fait : une gifle, un coup de poing ou de pied, de fortes bourrades avec les mains ou les coudes (arrêt du Tribunal fédéral 6B_525/2011 du 7 février 2012 consid. 4.1).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2.5</w:t>
      </w:r>
    </w:p>
    <w:p>
      <w:r>
        <w:t>En l'espèce, si les parties s'accordent sur le fait qu'une dispute est survenue le 19 novembre 2022 au matin, elles divergent sur le déroulement de celle-ci. D'après la recourante, le mis en cause l'avait attrapée par le bras, lui avait griffé la main droite puis l'avait saisie par la nuque pour la jeter sur le lit. Pour sa part, le mis en cause reconnait uniquement l'avoir griffée, de manière involontaire et accidentelle, en tentant de récupérer la clé de la chambre. À l'appui de ses déclarations, la recourante a produit un constat médical faisant état de deux dermabrasions – l'une de 6 cm de long sur 2 cm de large et l'autre en forme de griffure fine –, à l'avant-bras gauche. Conformément à la jurisprudence, ces blessures, superficielles, peuvent être qualifiées d'atteintes passagères et sans importance sur le sentiment de bien-être, faute d'état maladif en résultant. Partant, les atteintes susmentionnées sont constitutives de voies de fait. S'agissant dudit constat médical, il permet certes d'attester de blessures sur l'avant-bras de la recourante, compatibles avec les faits qu'elle dit avoir subis. Cela étant, il ne peut être exclu que la recourante, qui admet s'être défendue et avoir ôté la main du mis en cause, se soit elle-même blessée à cette occasion. En tout état, même à considérer que le mis en cause aurait saisi le bras de la recourante, aucun élément au dossier ne permet de retenir que ce dernier aurait eu la volonté de la blesser. En effet, ce dernier a expliqué qu'il entendait uniquement récupérer la clé de la chambre de sorte que le caractère intentionnel du geste incriminé devrait être nié. Pour le surplus, aucun élément objectif ne permet de corroborer la version de la recourante, en particulier s'agissant du fait que le mis en cause l'aurait saisie par la nuque pour la jeter sur le lit, ce d'autant que le document médical produit ne fait état d'aucune autre lésion que celles précitées. L'avis d'accident n'apporte aucun élément supplémentaire. Dans ce contexte, on ne voit pas quel acte d'instruction permettrait au Ministère public de parvenir à une autre conclusion, dès lors que les déclarations des parties sont contradictoires et qu'une confrontation n'apparait pas utile, la vraisemblance que les parties maintiennent leurs déclarations étant pratiquement certaine. Un des éléments constitutifs de l'infraction fait ainsi manifestement défaut (art. 310 al. 1 let. a CPP) et l'analyse du Ministère public sur ce point ne prête pas le flanc à la critique.</w:t>
      </w:r>
    </w:p>
    <w:p>
      <w:r>
        <w:rPr>
          <w:b/>
        </w:rPr>
        <w:t>E. 3</w:t>
      </w:r>
    </w:p>
    <w:p>
      <w:r>
        <w:t>La recourante reproche au Ministère public de ne pas avoir traité les faits relatifs à la contrainte et au dommage à la propriété, commettant ainsi un déni de justice.</w:t>
      </w:r>
    </w:p>
    <w:p>
      <w:r>
        <w:rPr>
          <w:b/>
        </w:rPr>
        <w:t>E. 3.1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3.2</w:t>
      </w:r>
    </w:p>
    <w:p>
      <w:r>
        <w:t>L'art. 181 CP vise, du chef de contrainte, quiconque, en usant de violence envers une personne ou en la menaçant d'un dommage sérieux, ou en l'entravant de quelque autre manière dans sa liberté d'action, l'oblige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La question doit être tranchée en fonction de critères objectifs en se plaçant du point de vue d'une personne de sensibilité moyenne (ATF 122 IV 322 consid. 1a; 120 IV 17 consid. 2a/aa).</w:t>
      </w:r>
    </w:p>
    <w:p>
      <w:r>
        <w:rPr>
          <w:b/>
        </w:rPr>
        <w:t>E. 3.3</w:t>
      </w:r>
    </w:p>
    <w:p>
      <w:r>
        <w:t>L'art. 144 al. 1 CP punit, sur plainte, celui qui aura endommagé, détruit ou mis hors d'usage une chose appartenant à autrui ou frappée d'un droit d'usage ou d'usufruit au bénéfice d'autrui. L'art. 144 CP vise la protection du patrimoine (A. MACALUSO/ L. MOREILLON/ N. QUELOZ (éds.), Commentaire romand, Code pénal II , Bâle 2017, n. 1 ad . Rem. Prél. aux art. 137 ss ). En matière de dommages à la propriété, seuls le propriétaire, au sens du droit civil, et l'ayant droit privé de l'usage de la chose sont protégés et ont le droit de déposer plainte (M. DUPUIS / L. MOREILLON / C. PIGUET / S. BERGER / M. MAZOU / V. RODIGARI (éds), Code pénal - Petit commentaire , 2 e éd., Bâle 2017, n 9 ad art. 144).</w:t>
      </w:r>
    </w:p>
    <w:p>
      <w:r>
        <w:rPr>
          <w:b/>
        </w:rPr>
        <w:t>E. 3.4</w:t>
      </w:r>
    </w:p>
    <w:p>
      <w:r>
        <w:t>Le Ministère public en ne traitant pas le grief sus-énoncé, clair et précis, a commis un déni de justice formel. Un renvoi de la cause ne se justifie cependant pas dès lors qu'il constituerait une vaine formalité et aboutirait à un allongement de la procédure. En effet, il suffit de constater que les éléments constitutifs des infractions dénoncées ne sont pas réunis. Le mis en cause a procédé au changement de la serrure de l'appartement dont il est le seul locataire. Il était donc autorisé à procéder de la sorte ce qui exclut un éventuel dommage à la propriété. Il n'a pas non plus, par cet acte, entravé la liberté d'action de la recourante, ce d'autant que cette dernière a été dans la possibilité de réintégrer l'appartement en faisant appel à un serrurier. En tout état, le comportement reproché n'est pas propre à atteindre la gravité requise par l'art. 181 CP. Partant, l'infraction de contrainte doit être écartée. Ce grief sera donc rejeté.</w:t>
      </w:r>
    </w:p>
    <w:p>
      <w:r>
        <w:rPr>
          <w:b/>
        </w:rPr>
        <w:t>E. 4</w:t>
      </w:r>
    </w:p>
    <w:p>
      <w:r>
        <w:t>Justifiée, l'ordonnance querellée sera donc confirmée et le recours rejeté.</w:t>
      </w:r>
    </w:p>
    <w:p>
      <w:r>
        <w:rPr>
          <w:b/>
        </w:rPr>
        <w:t>E. 5</w:t>
      </w:r>
    </w:p>
    <w:p>
      <w:r>
        <w:t>La recourante, qui succombe, supportera les frais envers l'État, fixés en totalité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