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P/2505/2016 vom 20. Februar 2017</w:t>
      </w:r>
    </w:p>
    <w:p>
      <w:r>
        <w:t>GE Cour de justice, 2017-02-20, FR</w:t>
      </w:r>
    </w:p>
    <w:p>
      <w:r>
        <w:rPr>
          <w:b/>
        </w:rPr>
        <w:t xml:space="preserve">Quelle: </w:t>
      </w:r>
      <w:r>
        <w:t>https://mcp.opencaselaw.ch/entscheid/ge_gerichte_P_2505_2016</w:t>
      </w:r>
    </w:p>
    <w:p>
      <w:r>
        <w:t>FR: GE_GERICHTE P/2505/2016 du 20 février 2017</w:t>
      </w:r>
    </w:p>
    <w:p>
      <w:r>
        <w:t>IT: GE_GERICHTE P/2505/2016 del 20 febbraio 2017</w:t>
      </w:r>
    </w:p>
    <w:p>
      <w:pPr>
        <w:pStyle w:val="Heading2"/>
      </w:pPr>
      <w:r>
        <w:t>Regeste</w:t>
      </w:r>
    </w:p>
    <w:p>
      <w:r>
        <w:t>SÉJOUR ILLÉGAL ; SURSIS À L'EXÉCUTION DE LA PEINE ; PRONOSTIC ; COMMERCE DE STUPÉFIANTS | LStup19.1 LEtr115.1.b CP47 CP49 CP41 CP42.2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notamment la quotité de la peine (let. b) et les frais, les indemnités et la réparation du tort moral (let. f). La Chambre limite son examen aux violations décrites dans l'acte d'appel (art. 404 al. 1 CPP), sauf en cas de décisions illégales ou inéquitables (art. 404 al. 2 CPP).</w:t>
      </w:r>
    </w:p>
    <w:p>
      <w:r>
        <w:rPr>
          <w:b/>
        </w:rPr>
        <w:t>E. 2.1</w:t>
      </w:r>
    </w:p>
    <w:p>
      <w:r>
        <w:t>Les infractions aux art. 19 al. 1 LStup et 115 al. 1 let. b LEtr sont punies d'une peine privative de liberté de trois, respectivement un, ans au plus ou d'une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2.2.2. En matière de trafic de stupéfiants, il y a lieu de tenir compte, plus spécialement, notamment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ses mobiles, ses antécédents et son comportement lors de la procédure (ATF 121 IV 202 consid. 2d/aa p. 204 ; ATF 118 IV 342 consid. 2d p. 349). 2.2.3.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2.2.4. D'après l'art. 49 al. 1 CP, si, en raison d'un ou de plusieurs actes, l'auteur remplit les conditions de plusieurs peines de même genre, le juge le condamne à la peine de l'infraction la plus grave et l'augmente dans une juste proportion. 2.2.5.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Lorsque des motifs de prévention spéciale permettent de considérer que l’une ou l’autre de ces peines seraient d'emblée inadaptées, le juge peut prononcer une peine privative de liberté de courte durée (arrêt du Tribunal fédéral 6B_889/2015 du 30 mai 2016 consid. 4.3 et les références citées). 2.2.6.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 2.3.1. En l'espèce, la faute de l'appelant est sérieuse. Il s'est adonné à un trafic de stupéfiants, qui porte certes sur une drogue dite douce mais dont la quantité n'était pas insignifiante. Il a agi par appât d'un gain facile s'agissant de la vente de stupéfiants et entêtement au mépris des règles légales en ce qui concerne le séjour. Il persiste en outre à séjourner illégalement sur le territoire national. Sa collaboration a été mauvaise, dans la mesure où il n’a admis que les faits incontestables, donnant des explications fantaisistes quant à ses intentions relatives à la drogue en sa possession et à son identification par le prévenu C______. Aucune circonstance atténuante n'est réalisée ni, à juste titre, plaidée et il y a concours d'infractions au sens de l'art. 49 al. 1 CP, ce qui justifie une augmentation de la peine pour l'infraction la plus grave, en l'occurrence la violation de la LStup, dans une juste proportion, étant observé, vu la jurisprudence (ATF 135 IV 6 consid. 4.2 p. 11 ; arrêt du Tribunal fédéral 6B_1226/2013 du 31 mars 2014 consid. 1.1), que le plafond de douze mois pour les infractions à la LEtr n'est pas encore atteint, de sorte qu'une peine peut encore être prononcée pour sanctionner le séjour illégal. Les antécédents judiciaires de l'appelant sont nombreux et spécifiques, ce qui démontre qu'il est insensible aux décisions de justice, lesquelles ne sont pas de nature à le dissuader de récidiver, même quand il est confronté à des peines de prison fermes. La situation personnelle de l'appelant ne révèle aucun facteur à décharge. A supposer que sa compagne serait enceinte, et qu'il aurait trouvé un travail en France, la peine prononcée n'apparait pas sévère au point de réduire à néant ses perspectives d'avenir et reste proportionnée à sa faute. Cette nouvelle situation, tant financière que familiale, n'est d'ailleurs étayée par aucun document. L'octroi du sursis est exclu, vu la condamnation à une peine privative de liberté de six mois prononcée en novembre 2013 et en l'absence de la moindre circonstance permettant de retenir que le pronostic serait particulièrement favorable (art. 42 al. 2 CP). Etant donné la situation administrative de l'appelant en Suisse, l’absence de toute possibilité de gain licite et ses précédentes condamnations restées sans effet dissuasif, le travail d’intérêt général est inenvisageable au même titre que la peine pécuniaire. C’est donc à juste titre que le premier juge a prononcé une peine privative de liberté ferme. Le jugement entrepris sera confirmé sur ce point. 2.3.2. Dans la mesure où la précédente peine privative de liberté limitée à 90 jours ne semble pas avoir été suffisante pour dissuader l'intéressé de persévérer dans ses agissements illégaux, une courte peine privative de liberté légèrement supérieure apparait opportune. A cet égard, celle de 110 jours prononcée par le premier juge prend correctement en compte l'ensemble des éléments susmentionnés. Le jugement entrepris sera ainsi intégralement confirmé.</w:t>
      </w:r>
    </w:p>
    <w:p>
      <w:r>
        <w:rPr>
          <w:b/>
        </w:rPr>
        <w:t>E. 3</w:t>
      </w:r>
    </w:p>
    <w:p>
      <w:r>
        <w:t>Vu l'issue de la cause, l'appelant ne saurait prétendre à indemnisation, au sens de l'art. 429 CPP, ni à une modification de la répartition des frais de première instance ; il sera en outre condamné à ceux de la procédure d'appel, lesquels comprendront un émolument de CHF 1'000.- (art. 428 CPP et 14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