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P/25049/2018 vom 2. Dezember 2020</w:t>
      </w:r>
    </w:p>
    <w:p>
      <w:r>
        <w:t>GE Cour de justice, 2020-12-02, FR</w:t>
      </w:r>
    </w:p>
    <w:p>
      <w:r>
        <w:rPr>
          <w:b/>
        </w:rPr>
        <w:t xml:space="preserve">Quelle: </w:t>
      </w:r>
      <w:r>
        <w:t>https://mcp.opencaselaw.ch/entscheid/ge_gerichte_P_25049_2018</w:t>
      </w:r>
    </w:p>
    <w:p>
      <w:r>
        <w:t>FR: GE_GERICHTE P/25049/2018 du 2 décembre 2020</w:t>
      </w:r>
    </w:p>
    <w:p>
      <w:r>
        <w:t>IT: GE_GERICHTE P/25049/2018 del 2 dicembre 2020</w:t>
      </w:r>
    </w:p>
    <w:p>
      <w:pPr>
        <w:pStyle w:val="Heading2"/>
      </w:pPr>
      <w:r>
        <w:t>Regeste</w:t>
      </w:r>
    </w:p>
    <w:p>
      <w:r>
        <w:t>SURVEILLANCE DES TÉLÉCOMMUNICATIONS;SOUPÇON | CPP.269; CPP.278</w:t>
      </w:r>
    </w:p>
    <w:p>
      <w:pPr>
        <w:pStyle w:val="Heading2"/>
      </w:pPr>
      <w:r>
        <w:t>Erwägungen</w:t>
      </w:r>
    </w:p>
    <w:p>
      <w:r>
        <w:rPr>
          <w:b/>
        </w:rPr>
        <w:t>E. 1</w:t>
      </w:r>
    </w:p>
    <w:p>
      <w:r>
        <w:t>Le recours est recevable pour avoir été déposé selon la forme et dans le délai prescrits (art. 279 al. 3, 393 et 396 CPP), concerner des mesures de surveillance secrètes sujettes à recours auprès de la Chambre de céans (art. 279 al. 3 et 393 CPP; art. 128 al. 2 let. a LOJ) et émaner d'une personne ayant fait l'objet de la surveillance (art. 279 al. 3 et 382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considère que la mise en oeuvre d'une surveillance téléphonique à son encontre violait la loi, celui-ci étant étranger à la commission de toute infraction pénale. 3.1.1. Selon l'art. 269 al. 1 CPP, le ministère public peut ordonner la surveillance de la correspondance par poste et télécommunication aux conditions suivantes : de graves soupçons laissent présumer que l'une des infractions visées à l'alinéa 2 de cette même disposition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parmi celles-ci figure en particulier le vol (art. 139 CP). 3.1.2. 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141 IV 459 consid. 4.1 p. 461). Dans les premiers temps de l'enquête, des soupçons encore peu précis peuvent être suffisants. Tel n'est cependant pas le cas de vagues suspicions ne se fondant sur aucun motif objectif.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(ATF 142 IV 289 consid. 2.2.1 p. 293 s.). 3.1.3. En sus de la condition posée à l'art. 269 al. 1 let. a CPP, la mesure de surveillance doit respecter le principe de proportionnalité (art. 197 al. 1 let. c et d et art. 269 al. 1 let. b CPP), devant en particulier être adéquate et poursuivre un intérêt public; elle doit ainsi être susceptible d'obtenir des résultats concrets. Les circonstances d'espèce sont dès lors déterminantes pour examiner la gravité de l'infraction; à cet égard, il n'est pas en soi suffisant que celle-ci figure dans le catalogue de l'art. 269 al. 2 CPP.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(ATF 142 IV 289 consid. 2.3 p. 295). Enfin, une surveillance ne peut être autorisée que si elle respecte le principe de subsidiarité (art. 269 al. 1 let. c CPP). Celui-ci présuppose notamment que l'autorité examine d'abord si une autre mesure moins incisive peut atteindre le résultat recherché (ultima ratio; ATF 142 IV 289 consid. 2.3 p. 295 s.).</w:t>
      </w:r>
    </w:p>
    <w:p>
      <w:r>
        <w:rPr>
          <w:b/>
        </w:rPr>
        <w:t>E. 3.2</w:t>
      </w:r>
    </w:p>
    <w:p>
      <w:r>
        <w:t>En l'espèce, l'infraction de vol à l'origine de la surveillance querellée n'est pas contestable. Partant, la mesure litigieuse était justifiée prima facie par les faits en cause et les difficultés initiales de l'enquête visant à identifier l'auteur. Contrairement à ce que sous-entend le recourant, ladite mesure le visant n'était pas justifiée par sa prétendue fausse identité. Elle était fondée sur des soupçons précis du plaignant à son endroit, eu égard à son comportement avant et après le vol et notamment aux questions qu'il lui avait posées en lien avec les montres qu'il avait apportées avec lui. Quand bien même ce n'était pas le recourant qui apparaissait sur les images de vidéosurveillance, il n'était pas exclu, à ce stade précoce de l'enquête, de le soupçonner d'une complicité avec l'auteur du vol, vu les informations sur le plaignant en sa possession. La mesure ordonnée apparaissait ainsi être le seul moyen pour identifier l'auteur du vol. Ainsi, les conditions de la mise sous surveillance de l'art. 269 CPP étaient, au regard de ce qui précède, réalisées.</w:t>
      </w:r>
    </w:p>
    <w:p>
      <w:r>
        <w:rPr>
          <w:b/>
        </w:rPr>
        <w:t>E. 4</w:t>
      </w:r>
    </w:p>
    <w:p>
      <w:r>
        <w:t>L'ordonnance du TMC du 21 décembre 2018 autorisant la mesure de surveillance critiquée était donc justifiée.</w:t>
      </w:r>
    </w:p>
    <w:p>
      <w:r>
        <w:rPr>
          <w:b/>
        </w:rPr>
        <w:t>E. 5</w:t>
      </w:r>
    </w:p>
    <w:p>
      <w:r>
        <w:t>La conclusion visant l'ouverture d'une "enquête interne" , exorbitante au litige, ne peut ainsi qu'être rejetée.</w:t>
      </w:r>
    </w:p>
    <w:p>
      <w:r>
        <w:rPr>
          <w:b/>
        </w:rPr>
        <w:t>E. 6</w:t>
      </w:r>
    </w:p>
    <w:p>
      <w:r>
        <w:t>La procédure pénale étant dorénavant close, les données recueillies devront être détruites, conformément à l'art. 278 al. 4 CPP, sans qu'il soit ainsi nécessaire d'y enjoindre le Ministère public.</w:t>
      </w:r>
    </w:p>
    <w:p>
      <w:r>
        <w:rPr>
          <w:b/>
        </w:rPr>
        <w:t>E. 7</w:t>
      </w:r>
    </w:p>
    <w:p>
      <w:r>
        <w:t>C'est enfin dans le cadre du classement de la procédure que le recourant pourra conclure au versement d'une indemnité pour l'éventuel tort moral subi (art. 429 CPP), étant relevé qu'il a déjà été interpellé à ce sujet par le Ministère public.</w:t>
      </w:r>
    </w:p>
    <w:p>
      <w:r>
        <w:rPr>
          <w:b/>
        </w:rPr>
        <w:t>E. 8</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