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P/25008/2024 vom 13. Januar 2025</w:t>
      </w:r>
    </w:p>
    <w:p>
      <w:r>
        <w:t>GE Cour de justice, 2025-01-13, FR</w:t>
      </w:r>
    </w:p>
    <w:p>
      <w:r>
        <w:rPr>
          <w:b/>
        </w:rPr>
        <w:t xml:space="preserve">Quelle: </w:t>
      </w:r>
      <w:r>
        <w:t>https://mcp.opencaselaw.ch/entscheid/ge_gerichte_P_25008_2024</w:t>
      </w:r>
    </w:p>
    <w:p>
      <w:r>
        <w:t>FR: GE_GERICHTE P/25008/2024 du 13 janvier 2025</w:t>
      </w:r>
    </w:p>
    <w:p>
      <w:r>
        <w:t>IT: GE_GERICHTE P/25008/2024 del 13 gennaio 2025</w:t>
      </w:r>
    </w:p>
    <w:p>
      <w:pPr>
        <w:pStyle w:val="Heading2"/>
      </w:pPr>
      <w:r>
        <w:t>Regeste</w:t>
      </w:r>
    </w:p>
    <w:p>
      <w:r>
        <w:t>ORDONNANCE DE NON-ENTRÉE EN MATIÈRE;ABUS DE CONFIANCE;ESCROQUERIE | CPP.310.al1.leta; CP.138; CP.146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sont recevables,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n'être pas entré en matière sur sa plainte pour abus de confiance (art. 138 ch. 1 CP) et escroquerie (art. 146 ch. 1 CP).</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 3.2.1. Commet un abus de confiance, au sens de l'art. 138 ch. 1 al. 2 CP, la personne qui, sans droit, emploie à son profit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121 IV 23 consid. 1c).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arrêt du Tribunal fédéral 6B_312/2009 du 17 juillet 2009). Ainsi, les acomptes versés en vue de l’exécution d’un contrat de construction ne sont pas des sommes confiées, même si le maître de l’ouvrage était parti de l’idée que l’entrepreneur utiliserait cet argent pour acheter le matériel nécessaire.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6B_1429/2019 du 5 février 2020 consid. 2.3; 6B_972/2018 du 20 novembre 2018 consid. 2.2.1 ; 6B_160/2012 du 5 avril 2013 consid. 2.2). 3.2.2. À teneur de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sa solvabilité ; l'escroquerie a donc été niée (ATF 142 IV 153 ; arrêt du Tribunal fédéral 6B_584/2018 du 30 août 2018 consid. 2.1). 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 arrêts du Tribunal fédéral 6B_1141/2017 du 7 juin 2018 consid. 1.2.2 ; 6B_446/2018 du 17 juillet 2018 consid. 2.1).</w:t>
      </w:r>
    </w:p>
    <w:p>
      <w:r>
        <w:rPr>
          <w:b/>
        </w:rPr>
        <w:t>E. 3.3</w:t>
      </w:r>
    </w:p>
    <w:p>
      <w:r>
        <w:t>En l'espèce, la recourante et le mis en cause, tous deux domiciliés en France, ont conclu un contrat d'entreprise portant sur la réfection d'un immeuble en France. Bien que la société par laquelle a agi le mis en cause soit une société de droit suisse et que les versements d'argent entre les parties aient eu lieu sur le territoire suisse (de main à main ou par l'intermédiaire de banques), la compétence ratione loci des autorités pénales suisses paraît douteuse au vu du lieu de commission prépondérant de l'infraction présumée, à savoir le chantier objet du contrat d'entreprise. Cela étant, cette question peut demeurer ouverte compte tenu des considérations qui suivent. La recourante ne soutient pas qu'elle aurait versé des sommes d'argent à l'entrepreneur général pour qu'il s'acquitte de factures déterminées de sous-traitants. Elle se plaint de la mauvaise exécution des travaux et de l'absence de sous-traitants. Aucun élément au dossier ne permet de retenir que le contrat d'entreprise prévoyait une affectation précise et exclusive des fonds remis à titre d'acomptes. Or, à teneur de la jurisprudence sus-rappelée, un contrat synallagmatique ne fait pas naître une obligation de conservation, de sorte que les acomptes versés ne constituent pas, en l'espèce, des valeurs confiées au sens de l'art. 138 ch. 1 CP. Ce point suffit à écarter l'infraction d'abus de confiance.</w:t>
      </w:r>
    </w:p>
    <w:p>
      <w:r>
        <w:rPr>
          <w:b/>
        </w:rPr>
        <w:t>E. 3.4</w:t>
      </w:r>
    </w:p>
    <w:p>
      <w:r>
        <w:t>S'agissant de l'infraction d'escroquerie, la recourante soutient qu'au vu de son inexpérience et du rapport de confiance la liant au mis en cause, elle ne pouvait " porter un regard critique " sur les demandes d'acomptes formulées par le précité. Elle ne peut être suivie. Tout d'abord, la recourante s'est engagée à hauteur d'un devis de EUR 182'000.-, signé, selon ses propres termes, " sans le moindre examen critique et sans solliciter l'avis d'un tiers ". Ce faisant, elle n'a pas agi avec la prudence que l'on pouvait attendre d'elle lors de la signature d'un tel contrat. À cela s'ajoute qu'en l'occurrence, aucun rapport d'amitié ni de lien professionnel n'existaient préalablement entre les parties, de sorte que la recourante n'a pas été dissuadée de requérir un conseil avisé. Par ailleurs, la recourante a produit un dossier photographique des travaux, qui ont donc bel et bien été réalisés, à tout le moins partiellement. Force est de constater que les importants défauts allégués dans ledit dossier relèvent de l'exécution du contrat, respectivement de sa mauvaise exécution, ce qui, comme l'a constaté le Ministère public, revêt une nature civile. Enfin, compte tenu des travaux effectués, rien ne permet de retenir un dessein d'enrichissement illégitime du mis en cause. Le chantier semble s'être interrompu après la dégradation des relations entre les parties ayant fait suite aux critiques de la recourante sur la qualité des prestations du mis en cause. Rien ne permet d'établir que celui-ci savait d'emblée qu'il ne mènerait pas à terme les travaux confiés et aurait ainsi perçu des acomptes injustifiés. On ne voit pas, dans la présente affaire, ce qui la distingue d'autres cas, civils, de mauvaise exécution d'un contrat d'entreprise. Par conséquent, l'élément subjectif de l'infraction de l'escroquerie ferait dans tous les cas défaut.</w:t>
      </w:r>
    </w:p>
    <w:p>
      <w:r>
        <w:rPr>
          <w:b/>
        </w:rPr>
        <w:t>E. 4</w:t>
      </w:r>
    </w:p>
    <w:p>
      <w:r>
        <w:t>Justifiée, l'ordonnance querellée sera donc confirmée.</w:t>
      </w:r>
    </w:p>
    <w:p>
      <w:r>
        <w:rPr>
          <w:b/>
        </w:rPr>
        <w:t>E. 5</w:t>
      </w:r>
    </w:p>
    <w:p>
      <w:r>
        <w:t>La recourante, qui succombe, supportera les frais envers l'État,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