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P/24959/2019 vom 22. Februar 2021</w:t>
      </w:r>
    </w:p>
    <w:p>
      <w:r>
        <w:t>GE Cour de justice, 2021-02-22, FR</w:t>
      </w:r>
    </w:p>
    <w:p>
      <w:r>
        <w:rPr>
          <w:b/>
        </w:rPr>
        <w:t xml:space="preserve">Quelle: </w:t>
      </w:r>
      <w:r>
        <w:t>https://mcp.opencaselaw.ch/entscheid/ge_gerichte_P_24959_2019</w:t>
      </w:r>
    </w:p>
    <w:p>
      <w:r>
        <w:t>FR: GE_GERICHTE P/24959/2019 du 22 février 2021</w:t>
      </w:r>
    </w:p>
    <w:p>
      <w:r>
        <w:t>IT: GE_GERICHTE P/24959/2019 del 22 febbraio 2021</w:t>
      </w:r>
    </w:p>
    <w:p>
      <w:pPr>
        <w:pStyle w:val="Heading2"/>
      </w:pPr>
      <w:r>
        <w:t>Regeste</w:t>
      </w:r>
    </w:p>
    <w:p>
      <w:r>
        <w:t>DIFFAMATION;CALOMNIE;CONTRAINTE(DROIT PÉNAL);TENTATIVE(DROIT PÉNAL);INSOUMISSION À UNE DÉCISION DE L'AUTORITÉ;JONCTION DE CAUSES;IN DUBIO PRO REO;LEX MITIOR;FIXATION DE LA PEINE;CONCOURS D'INFRACTIONS;RESPONSABILITÉ(DROIT PÉNAL);SURSIS À L'EXÉCUTION DE LA PEINE;IMPUTATION;INDEMNITÉ(EN GÉNÉRAL);DÉFENSE D'OFFICE | CP.173.al1; CP.173.al3; CP.174.al1; CP.181; CP.22.al1; CP.292; CPP.30; CPP.31.al3; CPP.47; CPP.49.al1; CPP.19.al2; CPP.44; CPP.51; CPP.433.al1; CPP.138.al1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 sens de l'art. 30 CPP, si des raisons objectives le justifient, le ministère public et les tribunaux peuvent ordonner la jonction ou la disjonction de procédures pénales. L'art. 31 al. 3 CPP prévoit que si un prévenu a commis plusieurs crimes, délits ou contraventions dans le même lieu, les procédures sont jointes.</w:t>
      </w:r>
    </w:p>
    <w:p>
      <w:r>
        <w:rPr>
          <w:b/>
        </w:rPr>
        <w:t>E. 2.2</w:t>
      </w:r>
    </w:p>
    <w:p>
      <w:r>
        <w:t>Les deux causes P/4______/2020 et P/24959/2019, qui opposent les mêmes parties à propos des mêmes complexes de faits, lesquels se sont déroulés à Genève, seront jointes sous ce dernier numéro.</w:t>
      </w:r>
    </w:p>
    <w:p>
      <w:r>
        <w:rPr>
          <w:b/>
        </w:rPr>
        <w:t>E. 3</w:t>
      </w:r>
    </w:p>
    <w:p>
      <w:r>
        <w:t>3.1.1.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références citées).</w:t>
      </w:r>
    </w:p>
    <w:p>
      <w:r>
        <w:rPr>
          <w:b/>
        </w:rPr>
        <w:t>E. 3.2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 137 IV 326 consid. 3.3.1 p. 328).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SJ 1989 400 ; arrêts du Tribunal fédéral 6B_1188/2017 du 5 juin 2018 consid. 3.1 ; 6B_153/2017 du 28 novembre 2017 consid. 3.1 ; 6B_8/2017 du 15 août 2017 consid. 2.1 et 2.2 ; 6B_70/2016 du 2 juin 2016 consid. 4.3.4 non publié in ATF 142 IV 315 ; 6B_750/2014 du 7 août 2015 consid. 1.1.2 ; 6S_853/2000 du 9 mai 2001 consid. 4c).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lorsqu'il reconnaît, devant l'Office des poursuites ou le poursuivi lui-même, qu'il n'agit pas envers le véritable débiteur (arrêt du Tribunal fédéral 6B_378/2016 du 15 décembre 2016 = SJ 2017 I 373), ou encore lorsqu'il réclame une somme importante, par pure représailles, à l'égard de l'avocat d'une partie adverse contre lequel il ne dispose d'aucune créance (arrêt du Tribunal fédéral 6B_705/2020 du 12 août 2020 = SJ 2020 I 450). Ainsi, l'avocat qui signe des réquisitions de poursuite en vue de faire adresser des commandements de payer de CHF 200'000.- à de simples témoins qui ne sont en aucun cas des parties adverses, ceci avant que ces témoins aient déposé en justice et en invoquant comme cause de l'obligation " atteinte à l'honneur, dommages et intérêts ", commet un acte de contrainte ou, à tout le moins, un délit manqué de contrainte (A. MACALUSO / L. MOREILLON / N. QUELOZ (éds), Commentaire romand, Code pénal II, vol. II, Partie spéciale : art. 111-392 CP , Bâle 2017, n. 63 ad art. 181 et les références citées). Menacer de déposer une plainte pénale constitue en principe un acte licite.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p. 20 ; 115 IV 207 consid. 2b/cc p. 214 ; arrêt du Tribunal fédéral 6B_124/2017 du 27 octobre 2017 consid. 2.1). La menace de l'ouverture d'un procès revient au même que la menace de sa poursuite, pour ce qui est de l'intimidation de la victime. Dans les deux cas, on tente de la fléchir par la perspective qu'elle devrait se résigner à se voir intenter un procès et éventuellement condamner à une peine. Est dès lors déterminant le fait que l'auteur de la contrainte fait savoir qu'il pourrait adopter un comportement de nature à entraîner des conséquences préjudiciables pour la victime. Qu'il s'agisse d'une action ou d'une abstention n'a aucune importance (ATF 96 IV 58 consid. 2 = JdT 1971 IV 54). Pour que l'infraction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3.3.1. 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sur plainte, puni d'une peine pécuniaire.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3.3.2.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Le fait d'accuser une personne d'avoir commis un crime ou un délit intentionnel entre dans les prévisions de l'art. 173 ch. 1 CP (ATF 132 IV 112 consid. 2.2 p. 115 ; 118 IV 248 consid. 2b p. 250 s. ; arrêt du Tribunal fédéral 6B_138/2008 du 22 janvier 2009 consid. 3.1). En revanche, accuser quelqu'un de " faire fi des lois " ne signifie pas encore l'accuser d'avoir commis une infraction (arrêt du Tribunal fédéral 6B_6/2015 du 23 mars 2016 consid. 3.2). En cas d'accusation d'avoir commis une infraction, la preuve de la vérité ne peut, sauf exceptions, être apportée que par la condamnation de la personne visée (ATF 132 IV 112 consid. 4.2. p. 118 et les arrêts cités ; arrêt du Tribunal fédéral 6B_1225/2014 du 18 janvier 2016 consid. 1.1). Le comportement délictueux peut consister soit à accuser une personne, c'est-à-dire à affirmer des faits qui la rendent méprisable, soit à jeter sur elle le soupçon au sujet de tels faits, soit encore à propager même en citant sa source ou en affirmant ne pas y croire une telle accusation ou un tel soupçon (ATF 117 IV 27 consid. 2c p. 29 et les références citées). La diffamation suppose une allégation de fait, et non pas un simple jugement de valeur (ATF 137 IV 313 consid. 2.1.2 p. 315 ;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3.3.3.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p. 116 ; 116 IV 31 consid. 3 p. 38 ; arrêt du Tribunal fédéral 6B_25/2013 du 4 juin 2013 consid. 1.1.1).</w:t>
      </w:r>
    </w:p>
    <w:p>
      <w:r>
        <w:rPr>
          <w:b/>
        </w:rPr>
        <w:t>E. 3.4</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 cf. ATF 136 IV 170 consid. 2.1 p. 176 ss ; arrêts du Tribunal fédéral 6B_324/2015 du 18 janvier 2016 consid. 2.2. et 6B_498/2012 du 14 février 2013 consid. 5.1). Par ailleurs, cela suppose implicitement que le fait allégué fût objectivement faux. La preuve de cet élément subjectif spécifique (connaissance de la fausseté de l'allégation) incombe à l'accusation (arrêt du Tribunal fédéral 6B_506/2010 du 21 octobre 2010 consid. 3.1.3). La connaissance de la fausseté doit exister au moment de la communication. Si elle ne peut pas être prouvée, il faut examiner s'il y a lieu de retenir la diffamation au sens de l'art. 173 CP (arrêt du Tribunal fédéral 6B_1100/2014 du 14 octobre 2015 consid. 4.1).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 du Tribunal fédéral 6B_1286/2016 du 15 août 2017 consid. 1.2). 3.5.1. Aux termes de l'art. 292 CP, celui qui ne se sera pas conformé à une décision à lui signifiée, sous la menace de la peine prévue audit article, par une autorité ou un fonctionnaire compétents sera puni d'une amende. Cette disposition ne définit pas directement le comportement punissable, mais par renvoi au contenu d'une décision. La réalisation de cette infraction suppose que le comportement ordonné par l'autorité soit décrit avec suffisamment de précision. Le destinataire doit savoir ce qu'il doit faire ou ne pas faire, et partant quel comportement ou omission est susceptible d'entraîner une sanction pénale (ATF 124 IV 297 consid. 4d p. 311 = JdT 2000 IV 106 ; arrêt du Tribunal fédéral 6B_591/2009 du 1 er février 2010 consid. 4.1). Selon la jurisprudence, l'infraction est intentionnelle et suppose la connaissance de l'injonction, de sa validité et des conséquences pénales de l'insoumission. Le dol éventuel suffit (ATF 119 IV 238 consid. 2a p. 240 ; arrêt du Tribunal fédéral 6B_547/2012 du 26 mars 2013 consid. 2.5 ; arrêt du Tribunal fédéral 6B_280/2010 du 20 mai 2010 consid. 3.1). 3.5.2. 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 4 al. 1 du Protocole n° 7 à la CEDH (RS 0.101.07) et par l'art. 14 al. 7 du Pacte-ONU II (RS 0.103.2).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3.5.3. Une autre contrainte indirecte peut prendre la forme d'une amende d'ordre, ou plus exactement d'une amende d'exécution forcée (art. 343 al. 1 let. b et c du code de procédure civile [CPC]). L'amende est infligée faute d'exécution dans l'endroit et dans le délai fixé par le prononcé d'exécution, le tribunal d'exécution forcée prononçant l'amende d'office dans une décision ultérieure avec constat d'échec. Cette amende n'a pas de caractère pénal, et ne peut pas, par la suite, être convertie en arrêts (I. CHABLOZ / P. DIETSCHY-MARTENET / M. HEINZMANN, Petit commentaire, Code de procédure civile , Bâle 2020, n. 13 ad art. 343 ; F. BOHNET / J. HALDY / J. JEANDIN / P. SCHWEIZER / D. TAPPY, Commentaire romand , Bâle 2018, 2 ème éd., n. 12 ad art. 343). Certaines mesures peuvent être combinées l'une avec l'autre, par exemple la commination d'une peine de droit (art. 292 CP par renvoi de l'art. 343 al. 1 let. a CPC) avec l'amende du droit de procédure (art. 343 al. 1 let. c CPC ; I. CHABLOZ / P. DIETSCHY-MARTENET / M. HEINZMANN, op. cit. , n. 9 ad art. 343 ; F. BOHNET / J. HALDY / J. JEANDIN / P. SCHWEIZER / D. TAPPY, op. cit. , n. 8 ad art. 343).</w:t>
      </w:r>
    </w:p>
    <w:p>
      <w:r>
        <w:rPr>
          <w:b/>
        </w:rPr>
        <w:t>E. 3.6</w:t>
      </w:r>
    </w:p>
    <w:p>
      <w:r>
        <w:t>En l'espèce, il est établi, sur la base des éléments au dossier, qu'entre les 31 octobre 2016 et 26 juin 2017, O______, sous l'impulsion de l'appelant, a adressé 19 factures d'honoraires d'avocat à six sociétés, soit V______, I______, K______, W______, X______ et Y______. En particulier, entre les 31 mars 2017 et 26 juin 2017, neuf factures ont été émises au nom de K______. M______, directeur juridique de cette société, par courriel du 26 juin 2017, a fait part de réserves quant à la facture reçue le 9 mai 2017, d'un montant de CHF 720'026.24. L'appelant, qui n'a jamais fourni d'explications quant à l'activité déployée ni quant au mode de calcul des honoraires réclamés, a déposé, le 27 juin 2017, soit le lendemain même, une réquisition de poursuite à l'encontre de L______. Un commandement de payer a ainsi été notifié à ce dernier, le 9 août 2017, portant sur un montant total de CHF 898'841.22, représentant " des factures non payées établies entre le 31 octobre 2016 et le 26 juin 2017 ". Le 25 août 2017, O______ a introduit une requête de mainlevée provisoire de l'opposition formée par L______, laissant penser que le prévenu semblait convaincu du caractère justifié de sa créance. Autre est la question de savoir s'il était fondé à la réclamer à L______. Il est d'abord relevé que l'appelant a expliqué dans sa requête du 25 août 2017 que tant les six sociétés, auxquelles ses factures avaient été émises " séparément ", que L______ " personnellement " étaient ses clients, ce qui démontre, qu'en sa qualité d'avocat, le prévenu savait parfaitement distinguer ses cocontractants. Il considérait néanmoins que L______, qui en avait assumé la " responsabilité individuelle ", et K______ étaient ses débiteurs pour les cinq autres sociétés, qu'il a qualifiées de sociétés écran. Or, L______, en tant que directeur avec signature individuelle d'une société anonyme, n'assumait aucune responsabilité personnelle pour le paiement des dettes de K______ et il ne ressort d'aucun élément au dossier qu'il aurait pris un tel engagement. En contradiction avec ce qui précède, le prévenu soutient désormais en appel qu'il était fondé à penser, compte tenu de la confusion existante sur l'identité des parties à la relation contractuelle, non instruite, que L______ était son client et le débiteur des honoraires réclamés. Si tel avait été le cas, l'on ne comprend pas pour quelle raison il aurait également fait notifier un commandement de payer, le 10 août 2017, à K______ portant sur l'intégralité de la créance réclamée, et encore moins, le 3 avril 2018, à M______, directeur juridique de la société précitée, comme déjà annoncé dans un courriel daté du 6 juillet 2017, sans même demander le moindre éclaircissement au préalable. Aucune des 19 factures composant la créance réclamée dans le commandement de payer notifié à L______ n'a été libellée à son nom. Au contraire, elles ont été adressées à des sociétés, qui, hormis K______, ne semblent pas avoir le moindre rapport avec le précité. Il ressort par ailleurs du " communiqué de presse ", daté du 10 juillet 2017 et publié sur le site internet de O______, que le prévenu considérait que les factures litigieuses concernaient K______ : " préoccupation autour du possible défaut de paiement frauduleux des factures à cette entreprise ". Il en va de même de ses courriers du 13 juillet 2017, par lesquels il informait Y______ avoir résilié son mandat le liant à K______, dès lors que les factures de cette société (" Firm's invoices ") n'avaient pas été payées. Ainsi, la question de savoir si L______ était également client de O______ peut rester ouverte, dès lors qu'au vu de ce qui précède cette relation n'était, en tout état, pas en lien direct avec les prétentions en paiement des honoraires litigieux. Pour le reste, l'appelant perd de vue la distinction fondamentale entre les pouvoirs décisionnels conférés à L______ en sa qualité de directeur avec signature individuelle et une quelconque reconnaissance de responsabilité de dettes de la société, qui, comme indiqué précédemment, ne résulte pas du dossier. En définitive, il ne peut être retenu que l'appelant disposait des créances litigieuses à l'égard de l'intimé L______, ni qu'il le croyait. Partant, la contrainte exercée par le premier sur le second au moyen d'un commandement de payer était illicite La pression exercée sur l'intimé visait, par ailleurs, à l'entraver dans sa liberté de décision, en le contraignant à régler les honoraires contestés ou en l'amenant à infléchir la position de K______ - au sein de laquelle il occupait le poste important de directeur - dans le cadre du litige opposant l'appelant à cette société. L'infraction de contrainte n'a toutefois pas été consommée, l'intimé n'ayant pas cédé à la pression subie. Les éléments constitutifs objectifs de la tentative de contrainte sont donc réalisés. Il en va de même de l'élément subjectif. En effet, au vu de ce qui précède, l'appelant était conscient du fait qu'il réclamait à L______ le paiement d'une somme d'argent considérable dont celui-ci n'était pas personnellement débiteur, au moyen de l'introduction d'une poursuite, procédé qui a généré des inconvénients, tels que relatés par le précité, en particulier à l'égard de AA______, en vue d'inciter l'intéressé à adopter l'un des comportements sus-décrits. Le prévenu a ainsi agi intentionnellement. C'est donc à juste titre que le TCO a reconnu l'appelant coupable de tentative de contrainte.</w:t>
      </w:r>
    </w:p>
    <w:p>
      <w:r>
        <w:rPr>
          <w:b/>
        </w:rPr>
        <w:t>E. 3.7</w:t>
      </w:r>
    </w:p>
    <w:p>
      <w:r>
        <w:t>Il est établi et non contesté que l'appelant, par ses courriers des 26 mars, 1 er et 3 mai 2018 adressés aux autorités britanniques, américaines et européennes et dont des copies ont été transmises par courriels les 27 avril, 2 et 4 mai 2018 à de nombreuses personnes physiques et morales, a porté atteinte à l'honneur des plaignants visés, à savoir L______, M______, G______, K______, I______ et E______. Par ailleurs, le prévenu, avocat, ne pouvait ignorer qu'en accusant les précités de contourner, par le biais de sociétés écran, les lois en vigueur en Grande-Bretagne et aux Etats-Unis ainsi que les sanctions prononcées par les Nations-Unies, en effectuant des transactions d'hydrocarbures avec des tiers suspectés d'être des Talibans ou encore l'Etat islamique, soit en jetant sur eux le soupçon d'une conduite contraire au droit et à la morale, il portait objectivement atteinte à leur honneur. Sous l'angle subjectif, le prévenu prétend qu'il ressortirait de ses aveux du 15 juin 2018 devant le MP qu'il avait pris connaissance de la fausseté de ses allégations non pas au moment où il avait adressé les communications litigieuses, mais postérieurement. Or, non seulement l'appelant, qui, rappelons-le, est juriste de formation, a admis librement et sans réserve l'infraction de calomnie, qu'il a dit connaître, alors même qu'il était assisté de son conseil et d'un interprète, tout comme il a présenté ses excuses et s'est engagé à se racheter auprès des plaignants, mais encore, interrogé sur la question de savoir s'il savait, au moment d'écrire les courriers litigieux, que ses allégations étaient fausses, il a répondu ne pas avoir " réfléchi clairement ". Face aux difficultés financières de son étude, il avait tenté de mettre les plaignants sous pression afin d'obtenir le paiement de ses honoraires, propos qu'il a d'ailleurs réitérés devant les experts psychiatres. Si l'appelant est, certes, revenu sur ses aveux lors de l'audience de jugement, il faut se souvenir que, le 30 mai 2018 devant le TMC, il avait déjà amorcé des excuses et reconnu, à demi-mots, sa responsabilité. Ainsi, contrairement à ce qu'il soutient, il n'a pas indiqué seulement du " bout des lèvres " lors d'une audience que ses propos étaient mensongers. Dans ces conditions, la CPAR ne peut que parvenir à la conclusion que l'appelant connaissait la fausseté de ses allégations lorsqu'il a rédigé les courriers litigieux, comme il l'a lui-même avoué. Alors même qu'il n'y a pas de place pour les preuves libératoires dans l'examen de l'infraction de calomnie, le prévenu ne saurait justifier ses propos à l'égard de L______ en invoquant la procédure P/7______/2012 ouverte contre ce dernier, dès lors qu'outre le fait que le précité n'a pas fait l'objet d'une condamnation, il ressort du courrier du MP du 4 février 2020 que ladite procédure n'a manifestement pas pour origine des faits identiques ou en substance les mêmes - achat d'une cargaison de diesel par AD______ en décembre 2011, puis revente à AE______ - que ceux reprochés par l'appelant dans les courriers litigieux (voir supra ), ce qu'il ne pouvait pas ignorer en sa prétendue qualité de conseil de L______. L'appelant a dès lors bien sciemment communiqué à des tiers des propos infondés et attentatoires à l'honneur de K______, L______, M______, G______, I______ et E______. Il s'avère ainsi que les écrits précités sont constitutifs de calomnie envers les intimés, de sorte que le verdict de culpabilité de ce chef doit également être confirmé.</w:t>
      </w:r>
    </w:p>
    <w:p>
      <w:r>
        <w:rPr>
          <w:b/>
        </w:rPr>
        <w:t>E. 3.8</w:t>
      </w:r>
    </w:p>
    <w:p>
      <w:r>
        <w:t>Il est établi que l'ordonnance litigieuse du 5 décembre 2017 est une décision de mesures provisionnelles rendue dans le cadre d'un litige concernant le " communiqué de presse " du 10 juillet 2017 et les publications y relative diffusés sur le site internet de O______. Cette ordonnance, qui faisait suite à celle sur mesures superprovisionnelles du 31 juillet 2017, a fait interdiction à A______ de publier, communiquer ou diffuser à l'avenir, dans toutes ses publications imprimées ou électroniques, personnelles ou professionnelles, toute information et/ou donnée directement ou indirectement relative à K______, L______ ou M______ ainsi que tout autre élément permettant de les identifier. Dans ces circonstances, l'injonction de s'abstenir de communiquer des informations de quelque manière que ce soit au sujet des précités dans un cadre personnel ou professionnel est parfaitement précise et ressort clairement des termes " publier, communiquer ou diffuser ". En cas de doute sur l'expression de " publications imprimées ou électroniques ", l'appelant, avocat, aurait été en mesure de prendre contact avec le juge civil pour demander tout éclaircissement, si besoin s'était fait sentir, avant de dénoncer les plaignants. L'ordonnance du 5 décembre 2017 était ainsi suffisamment précise pour être assortie de la menace des peines prévues à l'art. 292 CP. Ainsi, en adressant à des tiers, en particulier à des services de sécurité étrangers, les 26 mars, 1 er et 3 mai 2018, des courriers attentatoires à l'honneur de K______, L______ et M______ (voir supra 3.7) le prévenu a transgressé l'injonction contenue dans l'ordonnance du TPI du 5 décembre 2017, sous la menace de la peine prévue à l'art. 292 CP. Par ailleurs, l'appelant ne saurait se prévaloir d'une violation du principe ne bis in idem s'agissant de l'amende d'ordre qui lui a été infligée par le TPI dans son jugement du 19 décembre 2019, lequel a d'ailleurs conclu que le prévenu n'avait pas respecté ses décisions, ayant agi " malgré l'interdiction faite par le Tribunal de communiquer des informations relatives aux demandeurs ". En effet, comme retenu à juste titre par le TCO, il ressort clairement du jugement du TPI que cette amende couvre une période antérieure aux communications litigieuses des 26 mars, 1 er et 3 mai 2018, à savoir entre les 6 décembre 2017 et 13 février 2018, et sanctionne exclusivement les publications relatives au " communiqué de presse " du 10 juillet 2017, lesquelles ont été supprimées du site internet de l'Etude le 13 février 2018 précisément. Dans tous les cas, l'amende d'ordre de l'art. 343 al. 1 let. c CPC n'a pas un caractère pénal. Or, l'interdiction de la double poursuite n'est violée que lorsqu'une même personne est poursuivie ou punie pénalement à plusieurs reprises en raison des mêmes faits. La culpabilité de l'appelant du chef d'insoumission à une décision de l'autorité au sens de l'art. 292 CP sera partant confirmée.</w:t>
      </w:r>
    </w:p>
    <w:p>
      <w:r>
        <w:rPr>
          <w:b/>
        </w:rPr>
        <w:t>E. 3.9</w:t>
      </w:r>
    </w:p>
    <w:p>
      <w:r>
        <w:t>La CPAR considère comme établi que, le 4 mai 2018, l'appelant a rédigé un courriel à l'attention de l'avocat de K______, de L______ et de M______, lui précisant qu'il serait prêt à négocier un accord si l'intégralité de ses honoraires, soit CHF 898'841.22, était réglée. Il s'engageait en effet à retirer les plaintes contenues dans ses courriers des 26 mars, 1 er et 3 mai 2018 adressés aux autorités britanniques, américaines et européennes (voir supra ch. 3.7) et à faire tout ce qui était raisonnablement possible pour que lesdites plaintes ne soient pas suivies à l'avenir par d'autres équivalentes ou similaires. L'appelant ne peut être suivi lorsqu'il allègue que les propos tenus dans son courriel ne sauraient constituer la menace d'un dommage sérieux, dès lors qu'il est de jurisprudence constante que la menace de la poursuite d'un procès pénal au lieu d'un règlement à l'amiable constitue objectivement un dommage sérieux pour chacun. En effet, toute procédure pénale implique des désagréments et constitue un fardeau psychologique considérable, de sorte que pour éviter ces inconvénients l'accusé est souvent prêt à en supporter d'autres, concession qu'il ne consentirait normalement pas. Le moyen dont a usé l'appelant, en soi conforme au droit, est illicite dans la mesure où, d'une part, l'objet de cette requête n'avait aucun lien avec les prétendues infractions dénoncées dans les courriers litigieux et, d'autre part, les parties visées n'étaient pas identiques (voir supra ch. 3.6). Pour le surplus, non seulement la thèse de discussions sur plusieurs jours avec un médiateur n'est corroborée par aucun élément du dossier, mais encore elle est mise à mal par l'envoi immédiat du courriel litigieux par l'appelant à la suite de ses courriers des 26 mars, 1 er et 3 mai 2018. Le prévenu, qui exerçait la profession d'avocat, a agi de la sorte avec conscience et volonté pour obtenir le règlement de ses honoraires, lesquels faisaient l'objet de contestation, ce qu'il a lui-même admis. Si, par ses agissements, l'appelant avait pu obtenir le règlement souhaité, il y aurait eu contrainte achevée, mais, compte tenu du refus des plaignants, ses agissements doivent être qualifiés de tentative de contrainte (art. 22 al. 1 cum 181 CP).</w:t>
      </w:r>
    </w:p>
    <w:p>
      <w:r>
        <w:rPr>
          <w:b/>
        </w:rPr>
        <w:t>E. 3.10</w:t>
      </w:r>
    </w:p>
    <w:p>
      <w:r>
        <w:t>Il est établi et non contesté que le 12 décembre 2017, à 13h02, A______ a rédigé et envoyé à des tiers, soit P______ et Q______, ses anciennes employées, un email dans lequel il leur faisait part du licenciement de C______ pour faute grave, dès lors qu'elle avait tenté d'imiter la signature de son employeur dans un cahier de notes. Ce courriel contient des allégations de fait accusant de manière évidente l'intimée C______ d'avoir, en tant que collaboratrice, commis une faute grave, en jetant sur elle le soupçon d'avoir essayé d'imiter sa signature, soit une tentative d'infraction pénale, la qualification de faux dans les titres étant à cet égard explicitement suggérée, dès lors que l'appelant précisait qu'après s'être renseigné, il envisageait de porter plainte pénale contre son employée. Cet email est donc, sans équivoque, de nature à fonder le soupçon d'une conduite contraire au droit et à la morale de l'intimée C______, avocate, et est ainsi objectivement attentatoire à son honneur. Contrairement à ce que le prévenu plaide, il importe peu qu'il ne l'accuse pas formellement de la commission achevée d'une infraction, dès lors qu'au vu de la jurisprudence claire à ce propos, la simple fait de jeter sur une personne le soupçon d'une infraction, voire même de le propager, suffit. La Cour retient par ailleurs que le courriel litigieux était avant tout destiné à discréditer et jeter l'opprobre sur C______, qu'il avait licenciée avec effet immédiat quelques jours auparavant, parce qu'il considérait que son arrêt de travail n'était pas légitime et qu'elle avait trompé les autorités fribourgeoises, en omettant de leur annoncer le changement de son lieu de travail. En effet, le prévenu a adressé le courriel litigieux à ses anciennes employées, prétendument pour obtenir des explications, sans même attendre de recevoir celles de l'intimée C______ au sujet du carnet de notes découvert dans son bureau, qu'il avait sollicitées dans un courriel envoyé seulement une quinzaine de minutes auparavant. Au vu de ce qui précède, il sera retenu que l'appelant a, avec conscience et volonté, tenu des propos attentatoires à l'honneur, sans motif suffisant, parce qu'il n'a, en réalité, pas agi en vue d'obtenir des renseignements sur C______, mais dans le dessein principal de lui nuire. L'appelant, qui n'est en conséquence pas autorisé à apporter de preuve libératoire, ce qu'il n'a au demeurant pas même sollicité et qui serait, dans tous les cas, difficile à fournir dès lors que l'intimée C______ n'a fait l'objet d'aucune condamnation, sera reconnu coupable de diffamation. Le verdict de culpabilité de ce chef de cette infraction sera dès lors confirmé.</w:t>
      </w:r>
    </w:p>
    <w:p>
      <w:r>
        <w:rPr>
          <w:b/>
        </w:rPr>
        <w:t>E. 4</w:t>
      </w:r>
    </w:p>
    <w:p>
      <w:r>
        <w:t>4.1.1.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 2 ème éd., Bâle 2017, n. 6 des remarques préliminaires ad art. 34 à 41). 4.1.2.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 Bâle 2009, n. 19 ad art. 2 ; dans le même sens, M. NIGGLI / H. WIPRÄCHTIGER, Basler Kommentar Strafrecht I : Art. 1-136 StGB, Jugendstrafgesetz , 4 ème éd., Bâle 2018, n. 10 ad art. 2).</w:t>
      </w:r>
    </w:p>
    <w:p>
      <w:r>
        <w:rPr>
          <w:b/>
        </w:rPr>
        <w:t>E. 4.2</w:t>
      </w:r>
    </w:p>
    <w:p>
      <w:r>
        <w:t>En l'espèce, les faits reprochés à l'appelant sont à la fois antérieurs et postérieurs à l'entrée en vigueur du nouveau droit des sanctions. Dans la mesure où les principes régissant la fixation de la peine postulent le prononcé d'une peine d'ensemble, la peine sera fixée selon le nouveau droit.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4.3.3. Selon l'art. 22 al. 1 CP, le juge peut atténuer la peine si l'exécution d'un crime ou d'un délit n'est pas poursuivie jusqu'à son terme ou que le résultat nécessaire à la consommation de l'infraction ne se produit pas ou ne pouvait pas se produire. 4.3.4. 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 4.3.5. L'art. 44 CP prévoit que si le juge suspend totalement ou partiellement l'exécution d'une peine, il impartit au condamné un délai d'épreuve de deux à cinq ans (al. 1). Il peut ordonner une assistance de probation et imposer des règles de conduite pour la durée du délai d'épreuve (al. 2). 4.3.6.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arrêts du Tribunal fédéral 6B_906/2019 du 7 mai 2020 consid. 1.1 et 6B_352/2018 du 27 juillet 2018 consid. 5.1). Constituent des mesures légères, la fourniture de sûretés, la saisie des documents d'identité et l'engagement de se présenter aux actes de procédure (ATF 141 IV 190 consid. 3.3). 4.4.1. En l'espèce, la faute de l'appelant est importante. Il s'en est pris ou a tenté de s'en prendre à plusieurs biens juridiques (liberté, honneur ou encore autorité publique), alors même qu'il pratiquait en qualité d'avocat. La période pénale est longue. Il a agi essentiellement par appât du gain et par colère mal maîtrisée, soit des mobiles égoïstes. L'appelant a très mal collaboré à l'enquête, dès lors qu'après avoir avoué certaines infractions, il s'est rétracté sans s'expliquer. L'absence d'antécédent a un effet neutre sur la fixation de la peine. Les excuses présentées apparaissent de pure circonstance et l'intéressé ne semble pas avoir pris conscience de la gravité des faits reprochés, même si, aux dires d'experts, ses facultés volitives n'ont pas grandement été altérées. Si la situation personnelle de l'appelant, certes un peu tourmentée lors des faits, ne permet pas de justifier ses actes, elle les explique cependant dans une certaine mesure, dès lors que les experts ont retenu qu'il présentait un trouble de la personnalité narcissique, avec traits paranoïdes de sévérité moyenne, étant précisé toutefois que ce trouble n'avait pas altéré sa faculté d'apprécier le caractère illicite de ses actes. A décharge, il convient surtout de tenir compte de la responsabilité pénale faiblement restreinte du prévenu, retenue par l'expertise psychiatrique, dont il n'y a pas lieu de s'écarter, et qui a un effet atténuant sur la faute, celle-ci restant non négligeable. A raison, l'appelant ne conteste pas le prononcé d'une peine privative de liberté, seule susceptible de sanctionner adéquatement les infractions de calomnie et de tentative de contrainte du 4 mai 2018, étant précisé que le type de peine, à savoir une peine-pécuniaire, adopté pour la tentative de contrainte relative au commandement de payer est acquis à l'appelant (art. 391 al. 2 CPP). L'infraction la plus grave est la calomnie qui doit être sanctionnée d'une peine privative de liberté de dix mois, laquelle doit être aggravée de cinq mois (peine hypothétique de six mois) pour la tentative de contrainte du 4 mai 2018. Partant, la peine privative de liberté devrait s'élever à 15 mois avant prise en compte de la responsabilité faiblement restreinte de l'appelant, d'où au final une peine privative de liberté de 12 mois, telle que retenue à bon escient par les premiers juges. Une peine-pécuniaire de 180 jours doit par ailleurs sanctionner la tentative de contrainte relative au commandement de payer, infraction objectivement la plus grave. Elle sera aggravée de 90 jours (peine hypothétique de 110 jours) pour la diffamation. Cette peine devrait être ramenée à 220 jours, pour tenir compte de la responsabilité faiblement restreinte de l'appelant au moment des faits. Cela étant, compte tenu du maximum légal prévu pour la peine pécuniaire selon le nouveau droit des sanctions (art. 34 al. 1 CP), elle doit être réduite à 180 jours-amende. Le bénéfice du sursis est également acquis à l'appelant (art. 391 al. 2 CPP). Celui-ci doit être accompagné, comme retenu à juste titre par le premier juge, d'une règle de conduite tendant, comme le préconisent les experts psychiatres, à ce que l'appelant poursuive son suivi thérapeutique. Afin d'assurer le respect de cette règle de conduite, l'appelant sera également astreint à une assistance de probation. L'appelant ne conteste ni le montant du jour-amende fixé à CHF 30.-, qui apparaît adéquat, ni la durée du délai d'épreuve, laquelle l'est également compte tenu de la nécessité d'un suivi thérapeutique suffisamment long. La condamnation du prévenu à une amende de CHF 5'000.-, assortie d'une peine privative de liberté de substitution de 50 jours, pour l'insoumission à une décision de l'autorité, sera également confirmée, dite peine consacrant une correcte application des principes précités et étant adaptée à la situation financière de l'appelant. 4.4.2. Seront imputés sur la peine privative de liberté, 59 jours de détention et 133 jours de détention extraditionnelle avant jugement, tels que correctement calculés par les premiers juges et non contestés par l'appelant. Il convient par ailleurs d'imputer 103 jours (20 + 83 jours) pour les mesures de substitution, soit 10% de la durée desdites mesures subies entre le 22 juin et le 31 décembre 2018 (193 jours), date à laquelle le prévenu a cessé de les observer, et 20% pour celles subies entre le 7 janvier 2020 et le 22 février 2021 (413 jours), ce qui, malgré la grande clémence dont ont fait preuve les premiers juges, est acquis à l'appelant (art. 391 al. 2 CPP).</w:t>
      </w:r>
    </w:p>
    <w:p>
      <w:r>
        <w:rPr>
          <w:b/>
        </w:rPr>
        <w:t>E. 5</w:t>
      </w:r>
    </w:p>
    <w:p>
      <w:r>
        <w:t>Il se justifie également de confirmer la publication du jugement du TCO du ______ 2020 dans la FAO (art. 68 CP), compte tenu de l'atteinte portée à l'honneur des plaignants.</w:t>
      </w:r>
    </w:p>
    <w:p>
      <w:r>
        <w:rPr>
          <w:b/>
        </w:rPr>
        <w:t>E. 6</w:t>
      </w:r>
    </w:p>
    <w:p>
      <w:r>
        <w:t>6.1. L'appelant ne conteste pas, au-delà de sa culpabilité, la somme de CHF 5'000.- allouée par les premiers juges à chacun des deux plaignants E______ et I______ au titre de dédommagement pour leur tort moral. Ce montant apparaît adéquat et sera dès lors confirmé.</w:t>
      </w:r>
    </w:p>
    <w:p>
      <w:r>
        <w:rPr>
          <w:b/>
        </w:rPr>
        <w:t>E. 6.2</w:t>
      </w:r>
    </w:p>
    <w:p>
      <w:r>
        <w:t>Le déboutement de C______ pour ses conclusions en indemnisation de son tort moral sera confirmé, dès lors qu'elle a retiré son appel joint.</w:t>
      </w:r>
    </w:p>
    <w:p>
      <w:r>
        <w:rPr>
          <w:b/>
        </w:rPr>
        <w:t>E. 7</w:t>
      </w:r>
    </w:p>
    <w:p>
      <w:r>
        <w:t>L'appelant, qui succombe, supportera les frais de la procédure d'appel envers l'Etat, lesquels comprennent un émolument de jugement de CHF 3'000.- (art. 428 CPP). Dans la mesure où, suite à la jonction intervenue, le présent jugement est appelé à remplacer deux jugements séparés, ceux-ci seront formellement annulés pour ce motif (art. 408 CPP).</w:t>
      </w:r>
    </w:p>
    <w:p>
      <w:r>
        <w:rPr>
          <w:b/>
        </w:rPr>
        <w:t>E. 8</w:t>
      </w:r>
    </w:p>
    <w:p>
      <w:r>
        <w:t>Vu l'issue de la procédure, les prétentions en indemnisation pour l'activité antérieure à l'octroi de l'assistance juridique (au 8 mai 2019) et en réparation du tort moral formulées par l'appelant sont infondées et doivent être rejetées (art. 429 CPP).</w:t>
      </w:r>
    </w:p>
    <w:p>
      <w:r>
        <w:rPr>
          <w:b/>
        </w:rPr>
        <w:t>E. 9</w:t>
      </w:r>
    </w:p>
    <w:p>
      <w:r>
        <w:t>Il ne se justifie pas de revenir sur la décision d'ordonner la libération des sûretés en faveur de l'appelant (art. 239 CPP).</w:t>
      </w:r>
    </w:p>
    <w:p>
      <w:r>
        <w:rPr>
          <w:b/>
        </w:rPr>
        <w:t>E. 10.1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En appel, la partie plaignante peut, aux mêmes conditions, également solliciter une telle indemnité (art. 433 al. 1 CPP applicable en appel par renvoi de l'art. 436 al. 1 CPP).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Schweizerische Strafprozessordnung : Praxiskommentar , 2 ème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10.2</w:t>
      </w:r>
    </w:p>
    <w:p>
      <w:r>
        <w:t>En l'espèce, les parties plaignantes intimées obtiennent gain de cause, si bien que le principe de l'indemnisation de leurs dépenses nécessaires pour la procédure de première instance et d'appel leur est acquis.</w:t>
      </w:r>
    </w:p>
    <w:p>
      <w:r>
        <w:rPr>
          <w:b/>
        </w:rPr>
        <w:t>E. 10.3</w:t>
      </w:r>
    </w:p>
    <w:p>
      <w:r>
        <w:t>Les notes d'honoraires pour la procédure de première instance ne sont pas contestées par l'appelant, de sorte que la Cour de céans n'entend pas revenir sur les montants octroyés par le TCO.</w:t>
      </w:r>
    </w:p>
    <w:p>
      <w:r>
        <w:rPr>
          <w:b/>
        </w:rPr>
        <w:t>E. 10.4</w:t>
      </w:r>
    </w:p>
    <w:p>
      <w:r>
        <w:t>L'activité déployée en appel pour K______, L______ et M______, correspondant à 8h d'activité, est en adéquation avec la nature et la difficulté de l'affaire, référence étant faite à la notion de juste indemnité consacrée à l'art. 433 CPP. Il convient cependant d'ajuster le tarif horaire à un maximum de CHF 350.- pour le collaborateur afin de tenir compte de la jurisprudence précitée. Au vu de ce qui précède, l'indemnité sera arrêtée à CHF 2'800.-.</w:t>
      </w:r>
    </w:p>
    <w:p>
      <w:r>
        <w:rPr>
          <w:b/>
        </w:rPr>
        <w:t>E. 11</w:t>
      </w:r>
    </w:p>
    <w:p>
      <w:r>
        <w:t>11.1.1.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11.1.2.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 11.1.3. La majoration forfaitaire de 10% lorsque le temps facturé excède 30 heures ( ACPR/352/2015 du 25 juin 2015)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 ACPR/756/2016 du 24 novembre 2016 consid. 5.2). 11.2.1. En l'espèce, s'agissant de la procédure P/24959/2019, Me B______, défenseur d'office de A______, a déposés deux états de frais. Le premier couvre la période du 26 février au 22 juin 2020. Bien que la procédure précitée soit visée, il sollicite 9h20 pour une activité déployée entre les 12 et 22 juin 2020 pour la préparation à l'audience de jugement. Or, l'audience de jugement s'est déroulée le 26 février 2020, de sorte que cet état de frais vise en réalité la procédure P/4______/2020 dont l'audience de jugement s'est tenue le 3 juillet 2020. Dans la mesure où la juridiction d'appel n'est compétente, au sens de l'art. 135 al. 2 CPP, que pour taxer l'activité postérieure à sa saisine, laquelle date du 28 août 2020 dans la procédure P/4______/2020, cette note de frais ne sera pas indemnisée. Considéré globalement, l'état de frais produit pour la période du 7 juillet au 14 août 2020 satisfait les exigences légales et jurisprudentielles régissant l'assistance judiciaire gratuite en matière pénale. La rémunération de Me B______ sera partant arrêtée à CHF 5'054.80, correspondant à 21h20 d'activité au tarif de CHF 200.-/heure (CHF 4'266.70), plus la majoration forfaitaire de 10% (CHF 426.70), le travail du défenseur d'office dépassant sensiblement les 30 heures d'activité, et l'équivalent de la TVA au taux de 7.7% en CHF 361.40. 11.2.2. En ce qui concerne la procédure P/4______/2020, l'activité de Me B______ en lien avec la rédaction du mémoire d'appel d'une dizaine de pages seulement et les recherches juridiques, n'ayant pas à être indemnisées, sera réduite à 8h. En outre, le temps consacré pour la lecture du jugement du TCO du 3 juillet 2020 et pour la rédaction de la déclaration d'appel, soit 2h, sera écarté, étant compris dans le forfait pour activités diverses. L'indemnité sera ainsi arrêtée à CHF 2'330.-, correspondant à 9h50 d'activité à CHF 200.-/heure (CHF 1'966.70), plus forfait de 10% (CHF 196.70), au vu de l'activité indemnisée en première instance, et la TVA à 7.7% (CHF 166.60). 11.2.3. En définitive, l'indemnité de Me B______ pour la procédure d'appel sera arrêtée à CHF 7'384.80 (CHF 5'054.80 + CHF 2'330.-).</w:t>
      </w:r>
    </w:p>
    <w:p>
      <w:r>
        <w:rPr>
          <w:b/>
        </w:rPr>
        <w:t>E. 11.3</w:t>
      </w:r>
    </w:p>
    <w:p>
      <w:r>
        <w:t>Il n'y a pas lieu d'indemniser le conseil juridique gratuit de C______, dès lors qu'il n'a déposé aucune note de frais et que cette dernière n'a pris aucune conclusion.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