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P/24952/2017 vom 21. Dezember 2022</w:t>
      </w:r>
    </w:p>
    <w:p>
      <w:r>
        <w:t>GE Cour de justice, 2022-12-21, FR</w:t>
      </w:r>
    </w:p>
    <w:p>
      <w:r>
        <w:rPr>
          <w:b/>
        </w:rPr>
        <w:t xml:space="preserve">Quelle: </w:t>
      </w:r>
      <w:r>
        <w:t>https://mcp.opencaselaw.ch/entscheid/ge_gerichte_P_24952_2017</w:t>
      </w:r>
    </w:p>
    <w:p>
      <w:r>
        <w:t>FR: GE_GERICHTE P/24952/2017 du 21 décembre 2022</w:t>
      </w:r>
    </w:p>
    <w:p>
      <w:r>
        <w:t>IT: GE_GERICHTE P/24952/2017 del 21 dicembre 2022</w:t>
      </w:r>
    </w:p>
    <w:p>
      <w:pPr>
        <w:pStyle w:val="Heading2"/>
      </w:pPr>
      <w:r>
        <w:t>Regeste</w:t>
      </w:r>
    </w:p>
    <w:p>
      <w:r>
        <w:t>CP.144; LCR.90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Commet un abus de confiance au sens de l'art. 138 ch. 1 al. 2 CP, celui qui, sans droit, aura employé à son profit ou au profit d'un tiers, des valeurs patrimoniales qui lui avaient été confiées. Une valeur est confiée lorsque l'auteur a acquis la possibilité d'en disposer, mais que, conformément à un accord (exprès ou tacite) ou un autre rapport juridique, il ne peut en faire qu'un usage déterminé (ATF 133 IV 21 consid. 6.2 p. 27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arrêt du Tribunal fédéral 6B_312/2009 du 17 juillet 2009). Plus particulièrement en contrat d'entreprise, les acomptes versés par le maître de l'ouvrage à l'entrepreneur constituent des valeurs patrimoniales confiées, pour autant que les parties aient convenu de l'affectation des acomptes, par exemple au règlement des factures relatives à la construction faisant l'objet du contrat (arrêts du Tribunal fédéral 6B_1429/2019 du 5 février 2020 consid. 2.3. ; 6B_972/2018 du 20 novembre 2018 consid. 2.2.1 ; 6B_160/2012 du 5 avril 2013 consid. 2.2). 2.1.2. L'art. 146 CP, initialement retenu dans l'ordonnance pénale, dispose que se rend coupable d'escroquerie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Il est trop schématique d'affirmer que la volonté affichée est un phénomène intérieur invérifiable et qu'une tromperie relative à cette volonté est toujours astucieuse (ATF 118 IV 359 consid. 2 p. 361 ; arrêt du Tribunal fédéral 6B_584/2018 du 30 août 2018 consid. 2.1). En principe, les faits futurs, dans la mesure où leur survenance est incertaine, ne peuvent donner lieu à une tromperie, même si la personne ne livre pas son véritable pronostic. Ainsi, le vendeur qui laisse entendre, par la conclusion d'un contrat et l'encaissement d'un acompte, être en mesure de livrer la marchandise dans le délai convenu, ne commet pas de tromperie (A. MACALUSO / L. MOREILLON / N. QUELOZ [éds], Commentaire romand, Code pénal II, Bâle 2017, n. 10 ad art. 146). Cela étant,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sa solvabilité ; l'escroquerie a donc été niée (ATF 142 IV 153 ; arrêt du Tribunal fédéral 6B_584/2018 du 30 août 2018 consid. 2.1). L'emprunteur qui a l'intention de rembourser son bailleur de fonds n'agit pas astucieusement lorsqu'il ne l'informe pas spontanément de son insolvabilité (ATF 86 IV 205 ). Il en va en revanche différemment lorsque l'auteur présente une fausse vision de la réalité de manière à dissuader le prêteur de se renseigner sur sa situation financière ou lorsque des circonstances particulières font admettre à l'auteur que le prêteur ne posera pas de questions sur ce point (ATF 86 IV 206 ; arrêts du Tribunal fédéral 6B_817/2018 du 23 octobre 2018 consid. 2.4.1 et les références ; 6P_113/2006 du 27 septembre 2006 consid. 6.1). 2.2.1. En l'espèce, il peut d'emblée être relevé que les explications de l'appelant paraissent douteuses. Il n'a fourni aucun document prouvant qu'il a bel et bien passé commande de la douche qui devait être installée chez ses clients et a livré des explications changeantes sur les raisons du retard de cette installation. Il ne conteste d'ailleurs au final pas avoir utilisé l'acompte versé pour couvrir d'autres charges. Cela étant, rien ne vient établir que l'acompte versé était destiné à un usage déterminé. En particulier, aucun contrat écrit n'a été conclu et le seul mail du 4 décembre 2017, qui conseille une prise de décision rapide, ne permet pas à lui seul de retenir que l'acompte ne pouvait être utilisé qu'aux fins de payer le fournisseur. Il en découle que l'acompte de CHF 2'500.- ne constitue pas une valeur patrimoniale confiée, de sorte que le premier élément constitutif objectif de l'abus de confiance fait in casu défaut. L'appelant sera partant acquitté d'abus de confiance (art. 138 ch. 1 al. 2 CP). 2.2.2. Sous l'angle de l'escroquerie, le TP a retenu que la situation financière de la société F______ Sàrl n'était pas bonne déjà avant son rachat par l'appelant le 1 er juin 2017. Il a cependant également retenu qu'aucun élément au dossier ne permettait de retenir que l'appelant aurait adopté un comportement astucieux pour décider l'intimé à conclure un contrat et verser un acompte. Il ressort en effet de la procédure que l'engagement de l'intimé ne peut être qualifié d'opération courante de faible valeur au sens de la jurisprudence et qu'il n'a apparemment procédé à aucune vérification avant de verser son acompte. D'autre part, les parties n'étaient pas en relations commerciales depuis de nombreuses années et l'intimé n'a, à teneur du dossier, fait aucune recherche, même élémentaire, au sujet de l'appelant ou de sa société. Les démarches entreprises après le versement de l'acompte semble pourtant avoir été relativement simples à mener. Il en découle que si l'appelant a bel et bien violé ses obligations contractuelles envers l'intimé, la condition de la tromperie astucieuse fait ici défaut, de sorte que l'infraction d'escroquerie ne sera pas plus retenue.</w:t>
      </w:r>
    </w:p>
    <w:p>
      <w:r>
        <w:rPr>
          <w:b/>
        </w:rPr>
        <w:t>E. 3</w:t>
      </w:r>
    </w:p>
    <w:p>
      <w:r>
        <w:t>3.1.1. La peine à fixer doit désormais l'être pour dommages à la propriété et violation de l'art. 90 al. 2 LCR. 3.1.2. Selon la jurisprudence constante du Tribunal fédéral, dans le domaine spécifique de la fixation de la peine, l'interdiction de la reformatio in pejus n'impose pas une réduction automatique de la peine infligée en première instance lorsqu'un acquittement partiel est prononcé en deuxième instance (arrêts 6B_325/2021 précité consid. 2.1.2; 6B_943/2021 du 2 février 2021 consid. 2.1.2; 6B_461/2018 du 24 janvier 2019 consid. 11.2). 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ATF 117 IV 395 consid. 4 p. 397; 118 IV 18 consid. 1c/bb p. 21; arrêts 6B_325/2021 précité consid. 2.1.2; 6B_943/2021 du 2 février 2021 consid. 2.1.2 et les références citées). 3.1.3.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Comme relevé par le premier juge, le nouveau droit des sanctions paraît plus favorable au prévenu et sera partant appliqué (art. 2 al. 2 CP et art. 34 CP). L'art. 48 let. c CP indique que le juge atténue la peine lorsque l'auteur a agi en proie à une émotion violente que les circonstances rendaient excusable. L'émotion violente est un état psychologique d'origine émotionnelle,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147 IV 249 consid. 2.2 ; ATF 119 IV 202 consid. 2a p. 204 ; arrêt du Tribunal fédéral 6B_443/2020 du 11 juin 2020, consid. 1.2.1). N'importe quelles circonstances ne suffisent cependant pas. Il doit s'agir de circonstances dramatiques, dues principalement à des causes échappant à la volonté de l'auteur et qui s'imposent à lui, lequel ne doit pas être responsable ou principalement responsable de la situation conflictuelle qui le provoque. Il doit par ailleurs s'agir de circonstances objectives, de sorte qu'il faut se demander si un tiers raisonnable, placé dans la même situation que l'auteur, se serait trouvé dans le même état. Enfin, il faut qu'il existe une certaine proportionnalité entre la provocation, d'une part, et la réaction de l'auteur, d'autre part (ATF 147 IV 249 consid. 2.3 ; ATF 147 IV 249 consid. 2.2 ; arrêt du Tribunal fédéral 6B_443/2020 du 11 juin 2020 consid. 1.2.1).</w:t>
      </w:r>
    </w:p>
    <w:p>
      <w:r>
        <w:rPr>
          <w:b/>
        </w:rPr>
        <w:t>E. 3.2</w:t>
      </w:r>
    </w:p>
    <w:p>
      <w:r>
        <w:t>En l'espèce, la faute de l'appelant n'est pas anodine. Il s'en est pris au bien d'autrui sans aucun motif valable, voire par volonté de rétorsion selon ses propres explications. Celles-ci ne permettent aucunement de retenir la circonstance atténuante de l'émotion violente, son état d'émotion ne paraissant certainement pas, au vu de la jurisprudence rappelée plus haut, excusable dans le contexte allégué. Il a par ailleurs commis une violation grave des règles de circulation routière en commettant un dépassement de vitesse important, faisant courir un grand danger aux autres usagers de la route. Ses mobiles sont pour les deux infractions égoïstes. Sa situation personnelle n'explique en rien ses actes. Sa collaboration à la procédure a cependant été bonne. Il y a concours d'infractions. Les deux infractions commises l'ont été dans le délai d'épreuve de la condamnation du 21 avril 2016, l'appelant démontrant ainsi avoir été jusque-là imperméable à l'effet dissuasif des peines alors prononcées. Une peine ferme se justifie désormais, ce que l'appelant conteste sans offrir de motivation particulière. La peine à prononcer sera par ailleurs complémentaire à celle fixée le 25 avril 2019 (art 49 al. 2 CP), qui était de 20 jours-amende à CHF 80.- l'unité. La nouvelle peine doit été arrêtée à 110 jours-amende (soit 90 jours-amende pour le dépassement de vitesse, augmentée de 20 jours amende [peine théorique de 30 jours-amende] pour les dommages à la propriété). Si l'appelant avait été jugé en une fois, l'infraction punie le 25 avril 2019 l'aurait été à hauteur de 15 jours-amende (peine prononcée de 20 jours-amende) de sorte que le total aurait été de 125 jours-amende. La peine complémentaire serait ainsi arrêtée à 105 jours-amende (125 – 20 prononcés en avril 2019). Limitée par l'interdiction de la reformatio in pejus , la CPAR confirmera dès lors la quotité de 90 jours-amende prononcée par le premier juge, laquelle – non détaillée s'agissant de la quotité afférente à chacune des infractions alors retenues – paraissait en tout état trop clémente. Le montant du jour-amende arrêté à CHF 30.- par le premier juge, non contesté en tant que tel, sera également confirmé. La non-révocation du sursis accordé le 21 avril 2016 est acquise à l'appelant.</w:t>
      </w:r>
    </w:p>
    <w:p>
      <w:r>
        <w:rPr>
          <w:b/>
        </w:rPr>
        <w:t>E. 4</w:t>
      </w:r>
    </w:p>
    <w:p>
      <w:r>
        <w:t>L'appel ayant été admis en bonne partie, l'appelant ne sera condamné qu'à 1/3 des frais de la procédure d'appel (art. 428 CPP). Les frais de première instance seront par ailleurs revus (art. 428 al. 3 CPP) en ce qu'ils ne seront mis à charge de l'appelant qu'à raison de la moitié, soit CHF 1'048.25 sur un total de CHF 2'096.50, et que l'émolument complémentaire de jugement de CHF 800.- ne sera mis à charge de l'appelant qu'à raison d'1/3.</w:t>
      </w:r>
    </w:p>
    <w:p>
      <w:r>
        <w:rPr>
          <w:b/>
        </w:rPr>
        <w:t>E. 5.1</w:t>
      </w:r>
    </w:p>
    <w:p>
      <w:r>
        <w:t>Considéré globalement, l'état de frais produit par M e C______, défenseur d'office de A______, satisfait les exigences légales et jurisprudentielles régissant l'assistance judiciaire gratuite en matière pénale . La rémunération de M e C______ sera partant arrêtée à CHF 912.20, correspondant à sept heures d'activité au tarif de CHF 110.-/heure, plus la majoration forfaitaire de 10% et l'équivalent de la TVA au taux de 7.7% en CHF 65.20.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