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P/24902/2018 vom 24. Februar 2020</w:t>
      </w:r>
    </w:p>
    <w:p>
      <w:r>
        <w:t>GE Cour de justice, 2020-02-24, FR</w:t>
      </w:r>
    </w:p>
    <w:p>
      <w:r>
        <w:rPr>
          <w:b/>
        </w:rPr>
        <w:t xml:space="preserve">Quelle: </w:t>
      </w:r>
      <w:r>
        <w:t>https://mcp.opencaselaw.ch/entscheid/ge_gerichte_P_24902_2018</w:t>
      </w:r>
    </w:p>
    <w:p>
      <w:r>
        <w:t>FR: GE_GERICHTE P/24902/2018 du 24 février 2020</w:t>
      </w:r>
    </w:p>
    <w:p>
      <w:r>
        <w:t>IT: GE_GERICHTE P/24902/2018 del 24 febbraio 2020</w:t>
      </w:r>
    </w:p>
    <w:p>
      <w:pPr>
        <w:pStyle w:val="Heading2"/>
      </w:pPr>
      <w:r>
        <w:t>Regeste</w:t>
      </w:r>
    </w:p>
    <w:p>
      <w:r>
        <w:t>RUPTURE DE BAN | CP.291</w:t>
      </w:r>
    </w:p>
    <w:p>
      <w:pPr>
        <w:pStyle w:val="Heading2"/>
      </w:pPr>
      <w:r>
        <w:t>Erwägungen</w:t>
      </w:r>
    </w:p>
    <w:p>
      <w:r>
        <w:rPr>
          <w:b/>
        </w:rPr>
        <w:t>E. 1</w:t>
      </w:r>
    </w:p>
    <w:p>
      <w:r>
        <w:t>L'appel et l'appel joint sont recevables pour avoir été interjetés et motivés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L'appelant ne conteste plus en audience d'appel s'être rendu coupable de rupture de ban, infraction au demeurant établie à teneur du dossier. Toutefois, la période pénale doit être d'office modifiée pour tenir compte du fait qu'il était détenu entre le 28 juin et le 28 août 2018. Sous cette réserve, le verdict de culpabilité prononcé en première instance sera entièrement confirmé.</w:t>
      </w:r>
    </w:p>
    <w:p>
      <w:r>
        <w:rPr>
          <w:b/>
        </w:rPr>
        <w:t>E. 2.1</w:t>
      </w:r>
    </w:p>
    <w:p>
      <w:r>
        <w:t>Au sens de l'art. 291 CP, se rend coupable d'une rupture de ban celui qui aura contrevenu à une décision d'expulsion du territoire de la Confédération ou d'un canton prononcée par une autorité compétente, infraction passible d'une peine privative de liberté de trois ans au plus ou d'une peine pécuniaire.</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123 IV 49 consid. 2e ; ATF 120 IV 136 consid. 3a et les références). Les disparités en cette matière s'expliquent normalement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141 IV 61 consid. 6.3.2 ; ATF 135 IV 191 consid. 3.1 ; arrêt du Tribunal fédéral 6B_353/2016 du 30 mars 2017 consid. 3.2). 3.1.2. Conformément à l'art. 48 al. 1 let. c CP, le juge atténue la peine si l'auteur a agi en proie à une émotion violente que les circonstances rendaient excusables ou s'il a agi dans un état de profond désarroi. Cette disposition de la partie générale ne trouve cependant application que si les règles de la partie spéciale ne prennent pas déjà en considération les circonstances rendant excusables l'émotion violente ou le profond désarroi (cf. arrêt du Tribunal fédéral 6B_517/2008 du 27 août 2008 consid. 5.3.2). L'émotion violente doit être rendue excusable par les circonstances (ATF 118 IV 233 consid. 2a p. 236), le plus souvent par le comportement blâmable de la victime à l'égard de l'auteur, mais aussi possiblement par le comportement d'un tiers ou par des circonstances objectives (ATF 119 IV 202 consid. 2a p. 204 s.). N'importe quelles circonstances ne suffisent pas. Il doit s'agir de circonstances dramatiques, dues principalement à des causes échappant à la volonté de l'auteur et qui s'imposent à lui (ATF 119 IV 202 consid. 2a p. 205), lequel ne doit pas être responsable ou principalement responsable de la situation conflictuelle qui le provoque (ATF 118 IV 233 consid. 2b p. 238 ; ATF 107 IV 103 consid. 2b/bb p. 106). Le juge atténue la peine si l'auteur a manifesté par des actes un repentir sincère, notamment s'il a réparé le dommage autant qu'on pouvait l'attendre de lui (art. 48 let. d CP). 3.1.3.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127 IV 101 consid. 2b p. 104 ; arrêts du Tribunal fédéral 6B_688/2014 du 22 décembre 2017 consid. 27.2.1 ; 6B_1175/2017 du 11 avril 2018 consid. 2.1). 3.1.4. Lorsque, parmi plusieurs infractions à juger, l'une au moins a été commise avant d'autres jugées précédemment (concours rétrospectif partiel), les nouvelles infractions - soit celles commises après l'entrée en force d'un précédent jugement - doivent faire l'objet d'une peine indépendante. Ainsi, il convient d'opérer une séparation entre les infractions commises avant le premier jugement et celles perpétrées postérieurement à celui-ci. Le juge doit tout d'abord s'attacher aux infractions commises avant ledit jugement, en examinant si, eu égard au genre de peine envisagé, une application de l'art. 49 al. 2 CP entre en ligne de compte. Ensuite, il doit considérer les infractions commises postérieurement au jugement précédent, en fixant pour celles-ci une peine indépendante, le cas échéant en faisant application de l'art. 49 al. 1 CP. Enfin, le juge additionne la peine complémentaire ou la peine cumulative retenue pour sanctionner la ou les infractions commises antérieurement au jugement précédent à celle retenue pour sanctionner les infractions commises postérieurement à cette décision (ATF 145 IV 1 consid. 1).</w:t>
      </w:r>
    </w:p>
    <w:p>
      <w:r>
        <w:rPr>
          <w:b/>
        </w:rPr>
        <w:t>E. 3.2</w:t>
      </w:r>
    </w:p>
    <w:p>
      <w:r>
        <w:t>En l'espèce, la faute de l'appelant est lourde. Il a agi au préjudice du patrimoine et de l'intégrité d'autrui et au mépris des décisions rendues à son encontre. Son mobile relève de l'égoïsme et de l'appât du gain facile, que sa toxicomanie ne saurait excuser. Aucune circonstance atténuante ne peut être retenue. La restitution alléguée du sac volé le 26 novembre 2018 (contenant encore des médicaments mais déjà allégé de ses valeurs) ne peut constituer, à supposer qu'elle fût avérée, un acte de repentir sincère. L'opposition violente manifestée lors de son interpellation du 14 décembre 2018 n'a certainement pas été causée, compte tenu des circonstances, par une émotion violente, encore moins excusable, l'appelant venant de commettre un vol. Il est en définitive seul responsable des blessures subies à cette occasion. Sa collaboration à la procédure a été au mieux moyenne. Il a fluctué dans ses déclarations et n'a admis qu'en audience d'appel avoir su faire l'objet d'une expulsion judiciaire. Il n'a exprimé aucun regret, sinon celui d'être en détention dans des conditions qu'il qualifie de cauchemardesques. Sa prise de conscience apparaît inexistante. Il a de nombreux et mauvais antécédents, spécifiques, qui démontrent qu'il s'est durablement installé dans la délinquance et qu'il a été jusqu'ici imperméable à l'effet dissuasif des peines prononcées à son encontre. Les faits du 14 décembre 2018 ont été commis quatre jours seulement après sa dernière condamnation. Il y a concours d'infractions et concours rétrospectif avec la peine privative de liberté de 120 jours prononcée le 10 décembre 2018. S'agissant des infractions commises postérieurement au 10 décembre 2018, l'infraction la plus grave est celle du vol perpétré le 14 décembre 2018, qui commande à elle seule, une peine privative de liberté de quatre mois, peine qui doit être augmentée de trois mois pour la rupture de ban compte tenu de la durée - telle que réduite par la CPAR - de la période pénale, de deux mois pour les menaces, puis encore de deux mois pour l'infraction à l'art. 119 LEI. Quant au vol commis le 26 novembre 2018, il y a lieu de retenir que si celui-ci avait été jugé avec les faits du 10 décembre 2018, une peine privative de liberté de 150 jours aurait été la sanction adéquate. En définitive, il s'impose de prononcer, pour les infractions objets de la présente procédure, une peine privative de liberté partiellement complémentaire de 12 mois. Au surplus, la peine pécuniaire et l'amende prononcées par le premier juge sont justifiées et n'ont, du reste, fait l'objet d'aucune critique spécifique de la part de l'appelant, de sorte qu'elles doivent également être confirmées. Il résulte de ce qui précède que les appels interjetés doivent être rejetés.</w:t>
      </w:r>
    </w:p>
    <w:p>
      <w:r>
        <w:rPr>
          <w:b/>
        </w:rPr>
        <w:t>E. 4</w:t>
      </w:r>
    </w:p>
    <w:p>
      <w:r>
        <w:t>Les motifs ayant conduit le premier juge à prononcer, par ordonnance séparée du 14 novembre 2019, le maintien de l'appelant en détention pour des motifs de sûreté sont toujours d'actualité, que ce soit pour garantir l'exécution de la peine ou celle de l'expulsion, ce que celui-ci ne conteste au demeurant pas, de sorte que la mesure sera reconduite mutatis mutandis (ATF 139 IV 277 consid. 2.2 à 2.3).</w:t>
      </w:r>
    </w:p>
    <w:p>
      <w:r>
        <w:rPr>
          <w:b/>
        </w:rPr>
        <w:t>E. 5</w:t>
      </w:r>
    </w:p>
    <w:p>
      <w:r>
        <w:t>L'appelant, qui succombe pour l'essentiel, supportera les ¾ des frais de la procédure envers l'Etat, y compris un émolument de CHF 1'500.-, le solde étant laissé à la charge de l'Etat pour tenir compte du rejet de l'appel joint du MP (art. 428 CPP). Compte tenu des verdicts de culpabilité confirmés, il ne se justifie en outre pas de revoir la condamnation aux frais de première instance qui reste justifiée.</w:t>
      </w:r>
    </w:p>
    <w:p>
      <w:r>
        <w:rPr>
          <w:b/>
        </w:rPr>
        <w:t>E. 6</w:t>
      </w:r>
    </w:p>
    <w:p>
      <w:r>
        <w:t>. 6.1.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6.2</w:t>
      </w:r>
    </w:p>
    <w:p>
      <w:r>
        <w:t>En l'occurrence, considéré globalement, l'état de frais produit par le conseil de l'appelant paraît adéquat et conforme aux dispositions et principes qui précèdent, de sorte qu'il sera admis sans en reprendre le détail. En conclusion, l'indemnité sera arrêtée à CHF 2'775.65 correspondant à 2h20 d'activité au tarif de CHF 200.-/heure, 13h50 au tarif de CHF 110.-/heure, ainsi qu'un déplacement à CHF 55.- pour l'audience d'appel et la majoration forfaitaire de 10% et l'équivalent de la TVA au taux de 7.7% en CHF 198.45.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