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P/24894/2020 vom 22. Januar 2021</w:t>
      </w:r>
    </w:p>
    <w:p>
      <w:r>
        <w:t>GE Cour de justice, 2021-01-22, FR</w:t>
      </w:r>
    </w:p>
    <w:p>
      <w:r>
        <w:rPr>
          <w:b/>
        </w:rPr>
        <w:t xml:space="preserve">Quelle: </w:t>
      </w:r>
      <w:r>
        <w:t>https://mcp.opencaselaw.ch/entscheid/ge_gerichte_P_24894_2020</w:t>
      </w:r>
    </w:p>
    <w:p>
      <w:r>
        <w:t>FR: GE_GERICHTE P/24894/2020 du 22 janvier 2021</w:t>
      </w:r>
    </w:p>
    <w:p>
      <w:r>
        <w:t>IT: GE_GERICHTE P/24894/2020 del 22 gennaio 2021</w:t>
      </w:r>
    </w:p>
    <w:p>
      <w:pPr>
        <w:pStyle w:val="Heading2"/>
      </w:pPr>
      <w:r>
        <w:t>Regeste</w:t>
      </w:r>
    </w:p>
    <w:p>
      <w:r>
        <w:t>ESCROQUERIE;ASTUCE | CPP.310; CP.146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pénale, estimant qu'il existe une prévention suffisante du chef d'escroquerie.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e éd., Bâle 2019, n. 9 ad art. 310; R. PFISTER-LIECHTI (éd.), La procédure pénale fédérale, Fondation pour la formation continue des juges suisses, Berne 2010, p. 62 ; DCPR/85/2011 du 27 avril 2011).</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3.3</w:t>
      </w:r>
    </w:p>
    <w:p>
      <w:r>
        <w:t>Pour qu'il y ait escroquerie, une simple tromperie ne suffit pas. Il faut encore qu'elle soit astucieuse. Ainsi en va-t-il,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3.4</w:t>
      </w:r>
    </w:p>
    <w:p>
      <w:r>
        <w:t>En l'espèce, il apparait que les questions relatives aux violations des obligations contractuelles du mis en cause relèvent bien de la justice civile. Il ressort de l'ensemble des pièces figurant au dossier que les éléments constitutifs de l'infraction d'escroquerie ne sont pas réunis, à l'instar de ce qu'a retenu le Ministère public. En effet, aucun élément du dossier ne permet de rendre vraisemblable que le mis en cause aurait adopté un comportement dolosif dans le cadre de la vente du véhicule litigieux. Rien n'indique non plus qu'il savait la voiture équipée d'une courroie de distribution et non d'une chaîne de distribution, et qu'il aurait sciemment caché au recourant. Le mis en cause, enseignant de formation, avait admis avoir agi par " ignorance ", persuadé que la voiture était munie d'une chaîne de distribution. Il n'avait pas effectué les vérifications et s'était fié aux informations données par le garage auprès duquel il avait acquis le véhicule quatre ou cinq ans auparavant. Pour le surplus, même à supposer que le mis en cause ait tu la nature du mécanisme de distribution, en prétendant fallacieusement que la voiture était munie d'une chaîne, il n'y aurait pas encore eu de tromperie astucieuse. Il n'a, en effet, procédé à aucune mise en scène subtile, n'a eu recours à aucun procédé raffiné ni n'a fait preuve d'aucune rouerie particulière pour endormir la méfiance du recourant et le dissuader de vérifier l'équipement du véhicule. De plus, il n'y avait pas de rapport de confiance particulier entre les parties qui aurait impliqué que le recourant renonce aux vérifications nécessaires. À cet égard, le prix de vente initial du véhicule était de CHF 1'900.-, mais le mis en cause, conscient que des travaux devaient être effectués, a accepté, sur demande du recourant, de lui céder le véhicule pour un montant de CHF 500.- seulement. Le recourant, ayant en définitive payé moins encore, soit CHF 400.-, ne pouvait pas espérer acquérir un véhicule disposant d'une courroie en parfait état ou du moins récemment remplacée. Cas échéant, il lui aurait appartenu d'en vérifier l'état, qui plus est avec facilité. Au vu de ce qui précède, force est de constater qu'aucun élément au dossier ne permet de retenir, ne serait-ce que sous l'angle de la vraisemblance, que le mis en cause aurait eu connaissance de la nature du mécanisme de distribution du véhicule litigieux et qu'il aurait trompé, de surcroit astucieusement, le recourant. Partant, la prévention pénale d'escroquerie était manifestement insuffisante pour ouvrir une procédure pénale.</w:t>
      </w:r>
    </w:p>
    <w:p>
      <w:r>
        <w:rPr>
          <w:b/>
        </w:rPr>
        <w:t>E. 4</w:t>
      </w:r>
    </w:p>
    <w:p>
      <w:r>
        <w:t>Justifiée, l'ordonnance querellé sera donc confirmée.</w:t>
      </w:r>
    </w:p>
    <w:p>
      <w:r>
        <w:rPr>
          <w:b/>
        </w:rPr>
        <w:t>E. 5</w:t>
      </w:r>
    </w:p>
    <w:p>
      <w:r>
        <w:t>Le recourant, qui succombe, supportera les frais envers l'État, arrêtés à CHF 500.-, émolument de décision compris (art. 428 al. 1 CPP et 13 al. 1 du Règlement fixant le tarif des frais en matière pénale, RTFMP ; E 4 10.03). Ses conclusions étant vouées à l'échec, il ne saurait en effet être mis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