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P/24845/2022 vom 12. September 2023</w:t>
      </w:r>
    </w:p>
    <w:p>
      <w:r>
        <w:t>GE Cour de justice, 2023-09-12, FR</w:t>
      </w:r>
    </w:p>
    <w:p>
      <w:r>
        <w:rPr>
          <w:b/>
        </w:rPr>
        <w:t xml:space="preserve">Quelle: </w:t>
      </w:r>
      <w:r>
        <w:t>https://mcp.opencaselaw.ch/entscheid/ge_gerichte_P_24845_2022</w:t>
      </w:r>
    </w:p>
    <w:p>
      <w:r>
        <w:t>FR: GE_GERICHTE P/24845/2022 du 12 septembre 2023</w:t>
      </w:r>
    </w:p>
    <w:p>
      <w:r>
        <w:t>IT: GE_GERICHTE P/24845/2022 del 12 settembre 2023</w:t>
      </w:r>
    </w:p>
    <w:p>
      <w:pPr>
        <w:pStyle w:val="Heading2"/>
      </w:pPr>
      <w:r>
        <w:t>Regeste</w:t>
      </w:r>
    </w:p>
    <w:p>
      <w:r>
        <w:t>DÉCISION D'IRRECEVABILITÉ;INFRACTIONS CONTRE LA LIBERTÉ;CONTRAINTE(DROIT PÉNAL);DROIT CIVIL;DROIT DES SUCCESSIONS;ACTE DE DISPOSITION | CPP.310; CP.181; CC.602; CC.653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Les faits et moyens de preuve nouveaux sont recevables devant l'instance de recours (arrêt du Tribunal fédéral 1B_550/2020 du 19 novembre 2022 consid. 2.1), de sorte que les pièces nouvelles produites par le recourant seront admises.![endif]&gt;![if&gt;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3.2</w:t>
      </w:r>
    </w:p>
    <w:p>
      <w:r>
        <w:t>Se rend coupable de contrainte selon l'art. 181 CP quiconque, en usant de violence envers une personne ou en la menaçant d'un dommage sérieux, ou en l'entravant de quelque autre manière dans sa liberté d'action, l'oblige à faire, à ne pas faire ou à laisser faire un acte. Le bien juridiquement protégé par l'art. 181 CP est la liberté d'action et de décision, plus particulièrement la libre formation et le libre exercice de la volonté (ATF 141 IV 437 consid. 3.2.1).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w:t>
      </w:r>
    </w:p>
    <w:p>
      <w:r>
        <w:rPr>
          <w:b/>
        </w:rPr>
        <w:t>E. 3.3</w:t>
      </w:r>
    </w:p>
    <w:p>
      <w:r>
        <w:t>En l'espèce, il ressort du dossier que les parties forment l'hoirie de feu leur mère et, à ce titre, disposent en commun des biens de la succession (art. 602 al. 2 CC). Conformément aux règles applicables en la matière et à défaut d'élément au dossier sur la mise en place d'autre règle, le recourant ne détient pas seul le pouvoir de disposer des appartements litigieux (art. 653 al. 2 CC). Partant, dans la mesure où il n'est pas libre d'agir seul mais qu'il a besoin de l'accord du mis en cause, ce qu'il reconnait lui-même, il ne peut prétendre à une entrave à sa liberté d'action, bien juridiquement protégé par l'infraction dénoncée. Dès lors, les agissements du mis en cause, bien qu'apparaissant contraires aux dispositions civiles applicables, ne constituent pas, pour autant, un comportement pénalement répréhensible au sens de l'infraction de contrainte, faute de liberté d'action propre. C'est donc à juste titre que le Ministère public considère qu'il s'agit d'un litige purement civil, à cet égard.</w:t>
      </w:r>
    </w:p>
    <w:p>
      <w:r>
        <w:rPr>
          <w:b/>
        </w:rPr>
        <w:t>E. 3.4</w:t>
      </w:r>
    </w:p>
    <w:p>
      <w:r>
        <w:t>En ce qui concerne le changement de serrure de la porte d'accès à la cave, sans remise d'un double des clés au recourant, cette situation apparaît, à ce stade, constitutive de contrainte. En effet, la liberté d'action du recourant – accéder librement à ses affaires personnelles entreposées – est entravée. Cette restriction, consistant en l'absence totale d'accès à ses biens, ne peut être considérée comme légère. Les déclarations du mis en cause selon lesquelles il ne serait pas à l'origine dudit changement mais qu'il s'agirait d'une décision du représentant de la défunte sont contredites par le recourant, qui explique qu'il n'existerait aucun représentant d'hoirie. Dans ces circonstances, il appartenait au Ministère public d'instruire si le mis en cause était à l'origine du changement de serrure, par l'audition de l'huissier présent, afin de connaître son mandataire, voire de la régie en charge de l'immeuble. Dans l'affirmative, en agissant de la sorte, le mis en cause a entravé le recourant dans sa liberté de décision et l'a ainsi empêché d'accéder à ses biens personnels. On ne peut pas par conséquent retenir, en l'état, l'absence de toute prévention pénale en lien avec l'infraction prévue à l'art. 181 CP. Partant, le recours se révèle fondé sur ce point. Dans ces circonstances, la cause sera renvoyée au Ministère public pour qu'il procède au sens des considérants.</w:t>
      </w:r>
    </w:p>
    <w:p>
      <w:r>
        <w:rPr>
          <w:b/>
        </w:rPr>
        <w:t>E. 4</w:t>
      </w:r>
    </w:p>
    <w:p>
      <w:r>
        <w:t>Le recours sera partiellement admis. L'ordonnance querellée sera annulée, en tant qu'elle n'entre pas en matière sur l'infraction de contrainte quant au changement de serrure de la cave, et la cause renvoyée au Ministère public pour l'ouverture d'une instruction.![endif]&gt;![if&gt;</w:t>
      </w:r>
    </w:p>
    <w:p>
      <w:r>
        <w:rPr>
          <w:b/>
        </w:rPr>
        <w:t>E. 5</w:t>
      </w:r>
    </w:p>
    <w:p>
      <w:r>
        <w:t>Le recourant, qui n'obtient que partiellement gain de cause – pour l'un des deux complexes de faits dénoncés –, supportera la moitié des frais de recours envers l'État, fixés en totalité à CHF 900.-, soit CHF 450.- (art. 428 al. 1 CPP et 13 al. 1 du Règlement fixant le tarif des frais en matière pénale, RTFMP; E 4 10.03), l'autre moitié étant laissée à la charge de l'État.![endif]&gt;![if&gt;</w:t>
      </w:r>
    </w:p>
    <w:p>
      <w:r>
        <w:rPr>
          <w:b/>
        </w:rPr>
        <w:t>E. 6</w:t>
      </w:r>
    </w:p>
    <w:p>
      <w:r>
        <w:t>Corrélativement, le recourant peut prétendre à l'octroi de dépens (ATF 144 IV 207 consid. 1.8.2 et 137 IV 352 consid. 2.4.2).![endif]&gt;![if&gt;</w:t>
      </w:r>
    </w:p>
    <w:p>
      <w:r>
        <w:rPr>
          <w:b/>
        </w:rPr>
        <w:t>E. 6.1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et CHF 150.- pour un avocat stagiaire ( ACPR/223/2022 du 31 mars 2022 consid. 2.1 et les références citées).</w:t>
      </w:r>
    </w:p>
    <w:p>
      <w:r>
        <w:rPr>
          <w:b/>
        </w:rPr>
        <w:t>E. 6.2</w:t>
      </w:r>
    </w:p>
    <w:p>
      <w:r>
        <w:t>En l'espèce, le recourant conclut à une indemnité de CHF 1'875.-, TVA à 7.7 % en sus, pour ses frais de recours, correspondant à 5h d'activité d'un avocat-stagiaire pour la rédaction du recours et 2h30 d'activité d'un associé (1h30 pour la rédaction du recours et 1h de consultation du dossier). Ce montant apparaît toutefois excessif, compte tenu des écritures, à savoir neuf pages (pages de garde et conclusions comprises) de recours ainsi que deux pages et demi (en-tête comprise) de réplique, et de l'admission partielle du recours. Une indemnité de CHF 565.45, TVA à 7.7 % incluse, correspondant à 2h d'activité d'un avocat-stagiaire et 30 minutes d'activité d'un chef d'étude, au tarif usuel, apparaît raisonnable, dans la mesure où le développement juridique concernant les faits pour lesquels il obtient gain de cause – changement de serrure – tiennent sur un paragraphe dans le recours et une demi-page dans la réplique.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