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P/24839/2019 vom 7. Januar 2023</w:t>
      </w:r>
    </w:p>
    <w:p>
      <w:r>
        <w:t>GE Cour de justice, 2023-01-07, FR</w:t>
      </w:r>
    </w:p>
    <w:p>
      <w:r>
        <w:rPr>
          <w:b/>
        </w:rPr>
        <w:t xml:space="preserve">Quelle: </w:t>
      </w:r>
      <w:r>
        <w:t>https://mcp.opencaselaw.ch/entscheid/ge_gerichte_P_24839_2019</w:t>
      </w:r>
    </w:p>
    <w:p>
      <w:r>
        <w:t>FR: GE_GERICHTE P/24839/2019 du 7 janvier 2023</w:t>
      </w:r>
    </w:p>
    <w:p>
      <w:r>
        <w:t>IT: GE_GERICHTE P/24839/2019 del 7 gennaio 2023</w:t>
      </w:r>
    </w:p>
    <w:p>
      <w:pPr>
        <w:pStyle w:val="Heading2"/>
      </w:pPr>
      <w:r>
        <w:t>Erwägungen</w:t>
      </w:r>
    </w:p>
    <w:p>
      <w:r>
        <w:rPr>
          <w:b/>
        </w:rPr>
        <w:t>E. 5.1</w:t>
      </w:r>
    </w:p>
    <w:p>
      <w:r>
        <w:t>Conformément à l'art. 428 al. 1 CPP, les frais de la procédure de recours sont mis à la charge des parties dans la mesure où elles ont obtenu gain de cause ou succombé.</w:t>
      </w:r>
    </w:p>
    <w:p>
      <w:r>
        <w:rPr>
          <w:b/>
        </w:rPr>
        <w:t>E. 5.2</w:t>
      </w:r>
    </w:p>
    <w:p>
      <w:r>
        <w:t>En l'occurrence, les appels des parties plaignantes sont en partie admis, tandis que celui de l’appelant ne l’est que sur un point qu’il n’a pas plaidé, soit l’ampleur des conclusions des parents de la victime. Les frais de la procédure d'appel, comprenant un émolument de décision de CHF 2’000.- (art. 14 al. 1 let. e du règlement fixant le tarif des frais en matière pénale [RTFMP]) seront mis à la charge de l’appelant principal à concurrence de 80 %, le solde étant laissé à la charge de l’État (art. 136 al. 2 let. b CPP).</w:t>
      </w:r>
    </w:p>
    <w:p>
      <w:r>
        <w:rPr>
          <w:b/>
        </w:rPr>
        <w:t>E. 5.3</w:t>
      </w:r>
    </w:p>
    <w:p>
      <w:r>
        <w:t>Au vu du sort des appels il n’y a pas lieu de revoir la répartition des frais de la procédure de première instance.</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6.4</w:t>
      </w:r>
    </w:p>
    <w:p>
      <w:r>
        <w:t>En l'occurrence les états de frais produits par les conseils des parties satisfont globalement aux exigences légales et jurisprudentielles régissant l'assistance judiciaire gratuite en matière pénale, sous la réserve que le temps consacré à l’étude de la décision entreprise, respectivement à l’étude du dossier à réception de celle-ci ou du mémoire des parties adverses, dans un dossier censé connu et maîtrisé pour avoir été plaidé récemment en première instance, sera écarté. La rémunération de M e I______, conseil des parties plaignantes, sera partant arrêtée à CHF 2'960.80 correspondant à 12h05 d'activité au tarif de CHF 200.-/heure et 0h45 d'activité au tarif de CHF 110.-/heure plus la majoration forfaitaire de 10% et l'équivalent de la TVA au taux de 7.7% en CHF 211.70. La rémunération de M e B______, conseil de l’appelant, sera partant arrêtée à CHF 4'629.30 correspondant à 19h05 d'activité au tarif de CHF 200.-/heure plus la majoration forfaitaire de 10%, une vacation à CHF 100.- et l'équivalent de la TVA au taux de 7.7% en CHF 330.95.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