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P/24832/2021 vom 31. Juli 2023</w:t>
      </w:r>
    </w:p>
    <w:p>
      <w:r>
        <w:t>GE Cour de justice, 2023-07-31, FR</w:t>
      </w:r>
    </w:p>
    <w:p>
      <w:r>
        <w:rPr>
          <w:b/>
        </w:rPr>
        <w:t xml:space="preserve">Quelle: </w:t>
      </w:r>
      <w:r>
        <w:t>https://mcp.opencaselaw.ch/entscheid/ge_gerichte_P_24832_2021</w:t>
      </w:r>
    </w:p>
    <w:p>
      <w:r>
        <w:t>FR: GE_GERICHTE P/24832/2021 du 31 juillet 2023</w:t>
      </w:r>
    </w:p>
    <w:p>
      <w:r>
        <w:t>IT: GE_GERICHTE P/24832/2021 del 31 luglio 2023</w:t>
      </w:r>
    </w:p>
    <w:p>
      <w:pPr>
        <w:pStyle w:val="Heading2"/>
      </w:pPr>
      <w:r>
        <w:t>Regeste</w:t>
      </w:r>
    </w:p>
    <w:p>
      <w:r>
        <w:t>AGGRAVATION DE LA PEINE | LD.118.al1; LD.118.al3; LAlc.54.al2; OVA.96.al1; LIB.35.al1; LIB.35.al2.letb; DPA.9; CP.48.lete; CP.66a.al1.letf</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L'appelant a été reconnu coupable de soustraction douanière intentionnelle qualifiée (art. 118 al. 1 et 3 LD), de soustraction de l'impôt intentionnelle (art. 96 al. 1 LTVA), de soustraction de charges fiscales qualifiées (art. 54 al. 2 LAlc) et de soustraction de l'impôt sur la bière (art. 35 al. 1 LIB ; ndr : le dispositif du jugement de première instance mentionne une condamnation pour infraction à l'art. 35 al. 1 et 2 let. b LIB, ce qui résulte d'une erreur de plume et sera modifié d'office dans le présent arrêt), ce qui n'est pas contesté. L'infraction de soustraction de l'impôt sur la bière est punie d'une amende pouvant atteindre le quintuple du montant d'impôt soustrait ou mis en péril, ou de l'avantage illicite. L'infraction de soustraction de l'impôt intentionnelle est passible d'une amende de CHF 400'000.- au plus. Enfin, les infractions de soustraction douanière intentionnelle qualifiée et de soustraction de charges fiscales qualifiées sont quant à elles punies d'une amende pouvant atteindre le quintuple du montant des droits de douane soustrait ou, respectivement, du montant des charges fiscales soustraites ou de l'avantage fiscal obtenu, et augmentée de moitié, une peine privative de liberté d'un an au plus pouvant également être prononcée. 2.1.2. Les art. 128 al. 1 LD, 103 al. 1 LTVA, 59 al. 1 LAlc et 42 al. 1 LIB prévoient que la Loi fédérale sur le droit pénal administratif (ci-après : DPA) s'applique à la poursuite et au jugement des infractions à la LD, LTVA, LAlc et LIB. Aux termes de l'art. 2 DPA, les dispositions générales du code pénal suisse sont applicables aux actes réprimés par la législation administrative fédérale, à moins que cette loi ou une loi administrative spéciale n'en dispose autrement. 2.1.3. Les nouvelles dispositions sur le droit des sanctions sont entrées en vigueur le 1 er janvier 2018. En l'espèce, l'application de l'ancien ou du nouveau droit ne conduit pas à une solution différente, de sorte que le nouveau droit ne s'applique pas au titre de " lex mitior ". 2.1.4. À l'instar de toute autre peine, l'amende (art. 106 CP) doit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 JdT 2005 IV p. 215 ; 119 IV 330 consid. 3). La situation économique déterminante est celle de l'auteur au moment où l'amende est prononcée (arrêt du Tribunal fédéral 6B_547/2012 du 26 mars 2013 consid. 3.4). 2.1.5. Le juge prononce dans son jugement, pour le cas où, de manière fautive, le condamné ne paie pas l'amende, une peine privative de liberté de substitution d'un jour au moins et de trois mois au plus (art. 106 al. 2 CP). Selon l'art. 10 al. 1 DPA, dans la mesure où l'amende ne peut être recouvrée, le juge la convertit en arrêts. Avec la révision du droit pénal des sanctions, les termes "arrêts" et "détention" doivent être compris comme aux art. 36 al. 1 CP et 106 al. 2 CP, soit dans le sens de "peine privative de liberté" ( ACPR/760/2021 du 9 novembre 2021 consid. 4.1). Selon l'art. 10 al. 3 DPA, en cas de conversion, un jour d'arrêts ou de détention sera compté pour CHF 30.- d'amende, mais la durée de la peine ne pourra dépasser trois mois. 2.1.6. L’art. 9 DPA exclut le principe d’aggravation inscrit à l’art. 49 CP pour les amendes. L’art. 101 al.1 LTVA exclut l’application de l’art. 9 DPA, rendant à nouveau applicable le principe d’aggravation de l’art. 49 CP. Le champ d’application du principe d’aggravation en matière de TVA est toutefois limité. D’après l’art. 101 al. 4 LTVA, lorsqu’il s’agit d’infractions qui relèvent de la compétence de l’OFDF, comme c'est le cas en matière d'impôt sur les importations, il ne s’applique que si elles ont été commises en concours idéal. Dès lors, si un acte constitue à la fois une soustraction ou un recel de l'impôt sur les importations et une infraction à d'autres dispositions fédérales réprimées par l'AFD, le peine est celle qui sanctionne l'infraction la plus grave, et peut être augmentée de manière appropriée. Le cumul des peines s'applique en revanche aux infractions commises en concours réel, dans le domaine de compétence de l'OFDF, c'est-à-dire par la non-déclaration de marchandises lors de leur importation en Suisse à différents moments ou dans différents lieux (ATF 148 IV 96 consid. 4.5.2 et 4.7). La LD limite également le principe de l'aggravation au concours idéal en prévoyant que si une infraction constitue à la fois une infraction douanière et une infraction dont la poursuite incombe à l'OFDF, la peine encourue est celle qui est prévue pour l'infraction la plus grave et qu'elle peut être augmentée de façon appropriée (art. 126 al. 2 LD). L'art. 126 LD conduit de facto à une exclusion de l'art. 9 DPA dans le champ d'application de la disposition (ATF 148 IV 96 consid. 4.5.4). 2.1.7. Selon la jurisprudence, l'application de l'art. 49 al. 1 CP doit en principe être écartée en cas de condamnation pour une infraction par métier (ATF 76 IV 101 ), l'infraction devant être appréhendée comme un tout (arrêt du Tribunal fédéral 6B_516/2019 du 21 août 2019 consid. 2.3.3) sans qu'il ne faille fixer une peine pour chaque infraction. Lorsque le délinquant décide à plusieurs reprises, à des époques distinctes, de commettre une série d'infractions indépendantes les unes des autres, par métier, la volonté délictuelle est telle que le juge doit pouvoir, pour fixer la peine, faire application de l'art. 49 al. 1 CP, qui s'applique donc à ces séries successives d'infractions. Dans ce cas, en effet, la répétition dénote une propension à la délinquance justifiant, le cas échéant, une sanction supérieure au maximum de la peine prévue pour l'infraction par métier (ATF 116 IV 121 consid. 2b/aa ; arrêt du Tribunal fédéral 6B_36/2019 du 2 juillet 2019 consid. 3.6.1). 2.1.8. L'art. 48 let. e CP conduit à l'atténuation de la peine à la double condition que l'intérêt à punir ait sensiblement diminué en raison du temps écoulé depuis l'infraction et que l'auteur se soit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le jour de l'infraction jusqu'à celui où les faits sont définitivement constatés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Le juge doit se référer à la date à laquelle les faits ont été souverainement établis, et non au jugement de premier instance. Ainsi, lorsque le condamné a fait appel, il faut prendre en considération le moment où le jugement de seconde instance a été rendu dès lors que ce recours a un effet dévolutif (ATF 140 IV 145 consid. 3.1). Les délais de prescription spéciaux, plus courts que les délais ordinaires, tel celui prévu par l'art. 109 CP pour les contraventions ou par l'art. 178 al. 1 CP pour les délits contre l'honneur, ne sont pas pris en considération (ATF 132 IV 1 consid. 6.1.1).</w:t>
      </w:r>
    </w:p>
    <w:p>
      <w:r>
        <w:rPr>
          <w:b/>
        </w:rPr>
        <w:t>E. 2.2</w:t>
      </w:r>
    </w:p>
    <w:p>
      <w:r>
        <w:t>En l'espèce, la faute de l'intimé est globalement moyennement grave, comme l'a relevé l'OFDF qui a également qualifié la gravité des infractions commises de relative. Il a agi à 163 reprises sur une période pénale de presque deux ans. Il n'a en outre pas cessé spontanément son activité illicite et a même continué ses agissements délictuels pendant plus de trois mois après son arrestation par la patrouille de gardes-frontières, ce qui dénote une volonté délictuelle non négligeable. Il a causé un dommage à la collectivité pour un mobile égoïste, relevant uniquement de l'appât du gain. Sa collaboration a été bonne dans le sens où il a immédiatement admis les faits reprochés, bien qu'il soit revenu sur certaines de ses déclarations en audience de jugement concernant les achats effectués après son arrestation. Sa prise de conscience est bonne, l'intimé ayant proposé de réparer le dommage causé en fonction de sa situation financière, soit à raison de CHF 500.- par mois, ce qui a été refusé par l'OFDF. Sa situation personnelle, peu favorable à l'époque des faits, ne justifie pas ses agissements. Sa situation financière actuelle est délicate. Il a deux antécédents, non spécifiques. Il y a concours d'infractions, facteur aggravant de la peine. Au vu de ces éléments, comme retenu par le premier juge, une peine privative de liberté n'entre pas en considération. S'agissant des art. 118 al. 1 et 3 LD et l'art. 54 al. 2 LAlc, soit les infractions commises par habitude, la Cour est d'avis qu'il convient de suivre le premier juge et de fixer une peine d'ensemble comme c'est le cas pour l'aggravante du métier, à l'exclusion d'un éventuel cumul des peines. En revanche, les différentes infractions commises entrent en concours entre elles. Les faits datant de 2016 à 2018 et, en raison également du bon comportement du prévenu depuis environ cinq ans, l'amende devra être atténuée en application de l'art. 48 let. e CP. L'infraction abstraitement la plus grave est celle prévue par l'art. 118 al. 1 et 3 LD. L'intimé a soustrait la somme de CHF 237'144.90 de droits de douane. En application de l'art. 118 al. 1 LD, la peine encourue est une amende pouvant atteindre le quintuple du montant des droits de douanes soustraits et s'élève donc à CHF 1'185'724.50. En sus, l'aggravante de l'art. 128 al. 3 LD étant réalisée, le montant maximal de l'amende peut être augmenté de moitié. Par conséquent, l'amende encourue s'élève au maximum à CHF 1'778'586.75, montant pouvant être augmenté de façon appropriée, en application de l'art. 126 al. 2 LD, pour tenir compte des autres infractions commises en concours idéal. Au vu des éléments ci-dessus, la peine pour l'infraction de soustraction douanière intentionnelle qualifiée sera fixée à CHF 55'000.-. La peine sera augmentée de CHF 8'000.- (peine théorique de CHF 15'000.-) pour tenir compte de l'infraction à l'art. 54 al. 2 LAlc, et de CHF 1'000.- (peine théorique de CHF 3'000.-) pour tenir compte de l'infraction à l'art. 96 al. 1 LTVA. Il sera renoncé à toute aggravation en raison de l'infraction à l'art. 35 al. 1 LIB vu le très faible montant (CHF 1.90) de l'impôt soustrait. L'intimé sera donc condamné à une peine d'ensemble de CHF 64'000.-. Au vu du taux de conversion et du maximum légal de la peine privative de liberté de substitution, celle-ci sera fixée à trois mois.</w:t>
      </w:r>
    </w:p>
    <w:p>
      <w:r>
        <w:rPr>
          <w:b/>
        </w:rPr>
        <w:t>E. 3</w:t>
      </w:r>
    </w:p>
    <w:p>
      <w:r>
        <w:t>3.1.1. En application de l'art. 66a al. 1 let. f CP, le juge expulse obligatoirement de Suisse l'étranger qui est condamné pour fraude fiscale, détournement de l'impôt à la source ou autre infraction en matière de contributions de droit public passible d'une peine privative de liberté maximale d'un an ou plus. La clause générale "ou une autre infraction en matière de contributions de droit public" englobe par exemple la soustraction d'impôt qualifiée selon l'art. 97 al. 2 LTVA, l'art. 35 al. 3 LTab, l'art. 54 al. 2 Lalc, l'art. 35 al. 2 LTF et les infractions douanières selon les art. 117 al. 3 et 118 al. 2 LD (S. SCHLEGEL, Schweizerisches Strafgesetzbuch Handkommentar , 4 ème ed., 2020, n 5 ad art. 66a CP). 3.1.2. Le juge peut exceptionnellement renoncer à une expulsion lorsque celle-ci mettrait l'étranger dans une situation personnelle grave et que l'intérêt public à l'expulsion ne l'emporte pas sur l'intérêt privé de l'étranger à demeurer en Suisse (art. 66a al. 2 CP). Les conditions énoncées à l'art. 66a al. 2 CP sont cumulatives. Afin de pouvoir renoncer à une expulsion prévue par l'art. 66a al. 1 CP, il faut, d'une part, que cette mesure mette l'étranger dans une situation personnelle grave et, d'autre part, que l'intérêt public à l'expulsion ne l'emporte pas sur l'intérêt privé de l'étranger à demeurer en Suisse (arrêt du Tribunal fédéral 6B_1329/2018 du 14 février 2019 consid. 2.2). 3.1.3.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et de la jurisprudence y relative.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3.3.1 et 3.3.2). 3.1.4. L'expulsion d'un étranger qui séjourne depuis longtemps en Suisse doit se faire avec une retenue particulière. Elle n'est toutefois pas exclue en cas d'infractions graves ou répétées, même s'agissant d'un étranger né en Suisse et qui y a passé l'entier de sa vie, étant précisé qu'en droit des étrangers, une révocation de l'autorisation de séjour est prévue par l'art. 62 al. 1 let. b LEI en cas de "peine privative de liberté de longue durée", c'est-à-dire toute peine privative de liberté supérieure à un an (ATF 139 I 145 consid. 2.1 p. 147), résultant d'un seul jugement pénal, qu'elle ait été prononcée avec sursis ou sans sursis (ATF 139 I 16 consid. 2.1 p. 18). On tiendra alors particulièrement compte de l'intensité des liens de l'étranger avec la Suisse et des difficultés de réintégration dans son pays d'origine (ATF 144 IV 332 consid. 3.3.3). Un séjour légal de dix années suppose en principe une bonne intégration de l'étranger (ATF 144 I 266 consid. 3.9 ; arrêt du Tribunal fédéral 6B_1431/2019 du 12 février 2020 consid. 1.3.1). Selon ses directives, le MP renonce en principe à requérir l’expulsion de personnes résidant en Suisse depuis au moins 12 ans au bénéfice d’une autorisation de séjour valable, sans antécédent et qu’il n’entend pas requérir une peine importante ( cf . Directive B-10 du MP-GE, art. 6).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On tiendra alors particulièrement compte de l'intensité des liens de l'étranger avec la Suisse et des difficultés de réintégration dans son pays d'origine (ATF 146 IV 105 consid. 3.4.4 p. 109 ; 144 IV 332 consid. 3.3.2 et 3.3.3 et les arrêts cités ; arrêt du Tribunal fédéral 6B_153/2020 du 28 avril 2020 consid. 1.4.1). 3.1.5.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de la Constitution fédérale de la Confédération suisse [Cst.]) et par le droit international, en particulier l'art. 8 de la Convention de sauvegarde des droits de l'homme et des libertés fondamentales (CEDH) (arrêt du Tribunal fédéral 6B_364/2022 du 8 juin 2022 consid. 5.1).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(arrêt du Tribunal fédéral 6B_364/2022 du 8 juin 2022 consid. 5.1 ; cf . ATF 134 II 10 consid. 4.3).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Les relations familiales visées par l'art. 8 § 1 CEDH sont avant tout celles qui concernent la famille dite nucléaire, soit celles qui existent entre époux ainsi qu'entre parents et enfants mineurs vivant en ménage commun (arrêt du Tribunal fédéral 6B_364/2022 du 8 juin 2022 consid. 5.1). 3.1.6. La reconnaissance d'un cas de rigueur ne se résume pas non plus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Härtefallklausel und migrationsrechtliche Auswirkungen der Landesverweisung, cahier spécial, Plaidoyer 5/2016, p. 101 ; G. FIOLKA / L. VETTERLI, Die Landesverweisung in Art. 66a ff StGB als strafrechtliche Sanktion , cahier spécial, Plaidoyer 5/2016, p. 87 ; AARP/185/2017 du 2 juin 2017 consid. 2.2).</w:t>
      </w:r>
    </w:p>
    <w:p>
      <w:r>
        <w:rPr>
          <w:b/>
        </w:rPr>
        <w:t>E. 3.2</w:t>
      </w:r>
    </w:p>
    <w:p>
      <w:r>
        <w:t>En l'espèce, les infractions de soustraction douanière (art. 118 al. 1 et 3 LD) et de soustraction d'alcool (art. 54 al. 2 LAlc) commises par habitude par l'appelant entrainent l'expulsion obligatoire, une peine privative de liberté d'un an au plus pouvant être prononcée. Il convient donc d'analyser si les conditions du cas de rigueur sont remplies. Il ne peut être nié que les possibilités de réintégration de l'intimé dans son pays d'origine et ses perspectives de réinsertion sociale sont bonnes, celui-ci étant né au Portugal, pays avec lequel il a gardé des liens assez étroits. Il faut toutefois également tenir compte du fait que l'intimé, âgé de 45 ans, est arrivé en Suisse à l'âge de 14 ans et a donc vécu son adolescence dans notre pays. Il a rapidement travaillé dans la restauration et, en plus de 30 ans sur notre territoire, n'a jamais émergé à l'aide sociale. Il a effectué avec succès une formation de sommelier. Suite à son échec en tant qu'indépendant, il a trouvé un nouvel emploi comme salarié. Il a ainsi démontré sa volonté de prendre part à la vie économique locale, d'acquérir une formation et d'avoir une situation financière stable. Il est au bénéfice d'un permis de séjour C, délivré pour la première fois en 1998, et parle le français. Il est marié et père de deux enfants, nés en Suisse. Il est vrai qu'en cas d'expulsion, il pourrait s'établir facilement en France, étant citoyen européen, et sa famille, y compris sa femme ressortissante brésilienne, pourrait le rejoindre au titre du regroupement familial ( cf . www.service-public.fr). Toutefois, ses enfants sont nés en Suisse et son fils cadet, âgé de 17 ans et à sa charge, a suivi toute sa scolarité en Suisse et envisage des études supérieures dans notre pays, dont il possède la nationalité. Il est ainsi retenu que l'intimé a développé des liens importants avec la Suisse où se trouve son centre de vie et d’intérêts et qu'il y bénéficie d'une bonne intégration. Partant, une expulsion le placerait dans une situation personnelle grave. D'autre part, l'OFDF a elle-même considéré que, en comparaison avec d'autres infractions connues et poursuivies par ses soins, les actes commis par l'intimé étaient d'une gravité relative. Concernant le risque de récidive, elle ne saurait être suivie lorsqu'elle indique que celui-ci est présent, notamment si l'intimé se trouve à nouveau dans une situation professionnelle similaire à celle de l'époque des faits. En effet, vu la durée de la procédure, la bonne collaboration de ce dernier, sa situation professionnelle actuelle et le montant important de l'amende prononcée, la Cour est convaincue que l'intimé saura tirer leçon de cette condamnation et que le pronostic en matière de récidive n'est pas défavorable. Il ne représente dès lors pas un danger pour la collectivité si bien que l'intérêt public à l'expulsion ne l'emporte pas sur l'intérêt privé de l'intimé à demeurer en Suisse. C'est ainsi à juste titre que le TP a renoncé à son expulsion. Le jugement entrepris sera confirmé sur ce point.</w:t>
      </w:r>
    </w:p>
    <w:p>
      <w:r>
        <w:rPr>
          <w:b/>
        </w:rPr>
        <w:t>E. 4</w:t>
      </w:r>
    </w:p>
    <w:p>
      <w:r>
        <w:t>4.1. Il n'y a pas lieu de revoir les frais de la procédure de première instance, dès lors que l'intimé est reconnu coupable de tous les faits qui lui sont reprochés (art. 426 al. 1 et 428 al. 3 CPP).</w:t>
      </w:r>
    </w:p>
    <w:p>
      <w:r>
        <w:rPr>
          <w:b/>
        </w:rPr>
        <w:t>E. 4.2</w:t>
      </w:r>
    </w:p>
    <w:p>
      <w:r>
        <w:t>L'OFDF obtient gain de cause sur la quotité de l'amende infligée mais succombe sur la question de l'expulsion. Par conséquent, l'intimé supportera la moitié des frais de la procédure d'appel, comprenant un émolument de CHF 1'500.- (art. 14 al. 1 let. e du règlement fixant le tarif des frais en matière pénale [RTFMP]).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