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P/24796/2022 vom 21. Juli 2023</w:t>
      </w:r>
    </w:p>
    <w:p>
      <w:r>
        <w:t>GE Cour de justice, 2023-07-21, FR</w:t>
      </w:r>
    </w:p>
    <w:p>
      <w:r>
        <w:rPr>
          <w:b/>
        </w:rPr>
        <w:t xml:space="preserve">Quelle: </w:t>
      </w:r>
      <w:r>
        <w:t>https://mcp.opencaselaw.ch/entscheid/ge_gerichte_P_24796_2022</w:t>
      </w:r>
    </w:p>
    <w:p>
      <w:r>
        <w:t>FR: GE_GERICHTE P/24796/2022 du 21 juillet 2023</w:t>
      </w:r>
    </w:p>
    <w:p>
      <w:r>
        <w:t>IT: GE_GERICHTE P/24796/2022 del 21 luglio 2023</w:t>
      </w:r>
    </w:p>
    <w:p>
      <w:pPr>
        <w:pStyle w:val="Heading2"/>
      </w:pPr>
      <w:r>
        <w:t>Regeste</w:t>
      </w:r>
    </w:p>
    <w:p>
      <w:r>
        <w:t>RÉVISION(DÉCISION);ORDONNANCE PÉNALE;DÉCISION D'IRRECEVABILITÉ | CPP.410.al1.leta; CPP.411.al2; CPP.412</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Lorsque des contraventions font seules l'objet du prononcé attaqué et que la demande de révision ne vise pas une déclaration de culpabilité pour un crime ou un délit, la direction de la procédure statue (art. 129 al. 4 LOJ). 1.1.2. L'art. 410 al. 1 let. a CPP prévoit que toute personne lésée notamment par une ordonnance pénale peut en demander la révision s'il existe des faits ou des moyens de preuve qui étaient inconnus de l'autorité inférieure et qui sont de nature à motiver l'acquittement ou une condamnation sensiblement moins sévère du condamné. La demande en révision en raison de faits ou de moyens de preuve nouveaux n'est soumise à aucun délai (art. 411 al. 2 in fine CPP).</w:t>
      </w:r>
    </w:p>
    <w:p>
      <w:r>
        <w:rPr>
          <w:b/>
        </w:rPr>
        <w:t>E. 1.2</w:t>
      </w:r>
    </w:p>
    <w:p>
      <w:r>
        <w:t>Le demande en révision a donc été déposée devant l'autorité compétente, en temps utile.</w:t>
      </w:r>
    </w:p>
    <w:p>
      <w:r>
        <w:rPr>
          <w:b/>
        </w:rPr>
        <w:t>E. 2</w:t>
      </w:r>
    </w:p>
    <w:p>
      <w:r>
        <w:t>2.1.1. Les faits ou moyens de preuves sont nouveaux lorsque le juge n'en a pas eu connaissance au moment où il s'est prononcé, c'est-à-dire lorsqu'ils ne lui ont pas été soumis sous quelque forme que ce soit. Les faits et moyens de preuve sont sérieux lorsqu'ils sont propres à ébranler les constatations de fait sur lesquelles se fonde la condamnation et que l'état de fait ainsi modifié rend possible un jugement sensiblement plus favorable au condamné (ATF 137 IV 59 consid. 5.1.2 et 5.1.4 p. 66 ss ; 130 IV 72 consid. 1 p. 73 ; arrêt du Tribunal fédéral 6B_731/2013 du 28 novembre 2013 consid. 3.1.2).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(ATF 130 IV 72 consid. 2.3 p. 75 s.). Il s'agit dans chaque cas d'examiner au regard des circonstances de l'espèce, si la demande de révision tend à contourner les voies de droit ordinaires (arrêts du Tribunal fédéral 6B_1214/2015 du 30 août 2016 consid. 2 ; 6B_980/2015 du 13 juin 2016 consid. 1.3.2). 2.1.2.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(arrêts du Tribunal fédéral 6B_793/2014 du 20 janvier 2015 consid. 2.1.3 ; 6B_36/2014 du 6 mai 2014 consid. 2.1).</w:t>
      </w:r>
    </w:p>
    <w:p>
      <w:r>
        <w:rPr>
          <w:b/>
        </w:rPr>
        <w:t>E. 2.2</w:t>
      </w:r>
    </w:p>
    <w:p>
      <w:r>
        <w:t>En l'espèce, la demande en révision apparaît d'emblée mal fondée. L'argument dont se prévaut la demanderesse s'agissant de l'identité du soi-disant conducteur, dont elle avait connaissance au moment de la réception des cinq avis d'infractions et du rappel d'amende d'ordre, ne constitue pas un fait ou moyen de preuve nouveau, puisqu'à la suivre, le véhicule, immatriculé à son nom à elle, avait été mis à disposition d'un tiers – C______ ou E______ – avec son accord, à tout le moins dès le début de la période pénale. Elle était en mesure de le faire valoir dans les délais impartis par le SDC, de même que dans le cadre d'une procédure d'opposition, en temps utile, aux six ordonnances pénales, ce qu'elle n'a pas fait. C’est ainsi bien après avoir reçu pas moins de six ordonnances pénales, mais également six rappels du SDC que la demanderesse a finalement fourni l'identité et l'adresse du prétendu responsable des infractions, sans autre explication, notamment sur les raisons qui l'auraient empêchée de transmettre ces informations dans les délais, hormis des vacances qu'elle évoque brièvement. Dans ces circonstances, cette seule allégation ne constitue pas un moyen de preuve sérieux, propre à ébranler les constatations de fait sur lesquelles se fonde le jugement querellé, étant précisé que, dans tous les cas, il lui revenait de prendre les mesures nécessaires pour avoir accès à son courrier durant son absence. Il ne s'agit pas non plus d'un fait inconnu de l'autorité inférieure visé par l'art. 410 al. 1 let. a CPP, puisque le SDC et le TP avaient connaissance de cette information au moment de rendre leurs ordonnances respectives. C'est donc en toute connaissance de cause et en faisant usage de leur pouvoir de librement apprécier les preuves figurant au dossier qu'ils ont considéré tardive l'opposition formée par la demanderesse, étant précisé que cette dernière n'a pas non plus jugé utile de se déterminer dans le délai imparti par le TP. La voie de la demande de révision n'est pas destinée à contester l'appréciation du juge des moyens de preuve, au contraire de celle de l'opposition à l'ordonnance pénale. Il n'existe pas non plus de motif légitime justifiant l'absence de recours contre l'ordonnance du TP. Dans ces conditions, la demande en révision apparaît comme un moyen de contourner la voie de droit ordinaire. Elle doit être qualifiée d'abusive et partant d'irrecevable, la demanderesse ne disposant d'aucun intérêt juridiquement protégé à se plaindre de l'application de l'art. 412 al. 2 CPP.</w:t>
      </w:r>
    </w:p>
    <w:p>
      <w:r>
        <w:rPr>
          <w:b/>
        </w:rPr>
        <w:t>E. 3</w:t>
      </w:r>
    </w:p>
    <w:p>
      <w:r>
        <w:t>Vu l'issue de la procédure, la demanderesse sera condamnée aux frais, lesquels comprennent un émolument minimum de CHF 500.- (art. 428 al. 1 CPP a contrario et art. 14 al. 1 let. e du règlement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