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P/24787/2019 vom 14. Juni 2021</w:t>
      </w:r>
    </w:p>
    <w:p>
      <w:r>
        <w:t>GE Cour de justice, 2021-06-14, FR</w:t>
      </w:r>
    </w:p>
    <w:p>
      <w:r>
        <w:rPr>
          <w:b/>
        </w:rPr>
        <w:t xml:space="preserve">Quelle: </w:t>
      </w:r>
      <w:r>
        <w:t>https://mcp.opencaselaw.ch/entscheid/ge_gerichte_P_24787_2019</w:t>
      </w:r>
    </w:p>
    <w:p>
      <w:r>
        <w:t>FR: GE_GERICHTE P/24787/2019 du 14 juin 2021</w:t>
      </w:r>
    </w:p>
    <w:p>
      <w:r>
        <w:t>IT: GE_GERICHTE P/24787/2019 del 14 giugno 2021</w:t>
      </w:r>
    </w:p>
    <w:p>
      <w:pPr>
        <w:pStyle w:val="Heading2"/>
      </w:pPr>
      <w:r>
        <w:t>Regeste</w:t>
      </w:r>
    </w:p>
    <w:p>
      <w:r>
        <w:t>PEINE PÉCUNIAIRE;DÉLIT CONTINU | LEI.115.al1.letb; CP.47; CP.34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2.1.2. Lorsqu'une nouvelle loi entre en vigueur pendant l'exécution d'un délit continu, il convient de prendre en compte le nouveau droit uniquement (arrêt du Tribunal fédéral 6B_196/2012 du 24 janvier 2013 consid. 1.3). 2.2.1. L'art. 115 al. 1 let. b LEI prévoit une peine privative de liberté d'un an au plus ou une peine pécuniaire pour quiconque séjourne illégalement en Suisse, notamment après l'expiration de la durée du séjour non soumis à autorisation ou du séjour autorisé. 2.2.2. Le séjour illégal au sens de l'art. 115 al. 1 let. b LEI est un délit de durée, un délit continu. L'infraction est achevée au moment où le séjour prend fin (ATF 135 IV 6 consid. 3.2).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arrêt du Tribunal fédéral 6B_1003/2019 du 16 octobre 2019 consid. 1.1).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consid. 1.1). 2.2.3. L'art. 34 al. 1 CP, dans sa teneur au 1 er janvier 2018, prévoit que, sauf disposition contraire, la peine pécuniaire est de trois jours-amende au moins et ne peut excéder 180 jours-amende. 2.2.4. La somme des peines prononcées à raison du délit continu ne doit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prévu par l'art. 34 al. 1, première phrase, CP (ATF 145 IV 449 consid. 1).</w:t>
      </w:r>
    </w:p>
    <w:p>
      <w:r>
        <w:rPr>
          <w:b/>
        </w:rPr>
        <w:t>E. 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2.4</w:t>
      </w:r>
    </w:p>
    <w:p>
      <w:r>
        <w:t>En l'espèce, la faute de l'appelant n'est pas négligeable dans la mesure où il persiste à séjourner illégalement en Suisse, étant relevé que la période pénale est longue. Ses mobiles relèvent de la pure convenance personnelle, dans l'irrespect des décisions d'autorités prises à son endroit. Sa collaboration est bonne, l'appelant ayant d'emblée reconnu les faits reprochés, alors même qu'il ne pouvait que difficilement les contester. La précarité de sa situation personnelle ne justifie ni n'excuse ses actes, étant relevé que l'appelant n'a effectué aucune démarche aux fins de tenter de régulariser sa situation administrative sur le territoire suisse. Il a des antécédents spécifiques. S'agissant du type de peine à prononcer, il n'est pas nécessaire d'examiner l'applicabilité de la Directive sur le retour, dans la mesure où la peine pécuniaire est quoiqu'il en soit acquise à l'appelant en application du principe de l'interdiction de la reformatio in pejus . Concernant la quotité de la peine, doit être pris en compte le fait que l'appelant n'a pas quitté la Suisse depuis ses précédentes condamnations pour séjour illégal survenues en juillet 2014 et décembre 2017, pour lesquelles il a été condamné à une peine pécuniaire de cinq jours-amende, respectivement 90 jours-amende. Une peine pécuniaire de 90 jours-amende ne peut ainsi lui être infligée, le seuil maximal de 180 jours-amende étant dépassé. Cela étant, force est de constater que la précédente sanction de 90 jours-amende n'a pas eu d'effet dissuasif sur l'intéressé. Au vu de ce qui précède, l'appelant sera condamné à une peine pécuniaire de 85 jours-amende à CHF 10.- et son appel admis.</w:t>
      </w:r>
    </w:p>
    <w:p>
      <w:r>
        <w:rPr>
          <w:b/>
        </w:rPr>
        <w:t>E. 3</w:t>
      </w:r>
    </w:p>
    <w:p>
      <w:r>
        <w:t>L'appel ayant été admis, il ne sera pas perçu de frais (art. 428 CPP a contrario ). Le verdict de culpabilité étant confirmé, il n'y a pas lieu de revenir sur les frais de première instance, à l'exception de l'émolument complémentaire de jugement. En effet, ces frais ont été entraînés par l'appel et vu son mérite, il n'y a pas lieu que cet émolument soit supporté par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