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P/24755/2018 vom 8. April 2024</w:t>
      </w:r>
    </w:p>
    <w:p>
      <w:r>
        <w:t>GE Cour de justice, 2024-04-08, FR</w:t>
      </w:r>
    </w:p>
    <w:p>
      <w:r>
        <w:rPr>
          <w:b/>
        </w:rPr>
        <w:t xml:space="preserve">Quelle: </w:t>
      </w:r>
      <w:r>
        <w:t>https://mcp.opencaselaw.ch/entscheid/ge_gerichte_P_24755_2018</w:t>
      </w:r>
    </w:p>
    <w:p>
      <w:r>
        <w:t>FR: GE_GERICHTE P/24755/2018 du 8 avril 2024</w:t>
      </w:r>
    </w:p>
    <w:p>
      <w:r>
        <w:t>IT: GE_GERICHTE P/24755/2018 del 8 aprile 2024</w:t>
      </w:r>
    </w:p>
    <w:p>
      <w:pPr>
        <w:pStyle w:val="Heading2"/>
      </w:pPr>
      <w:r>
        <w:t>Regeste</w:t>
      </w:r>
    </w:p>
    <w:p>
      <w:r>
        <w:t>JONCTION DE CAUSES | CPP.29; CPP.30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2.1</w:t>
      </w:r>
    </w:p>
    <w:p>
      <w:r>
        <w:t>À teneur de l'art. 29 al. 1 CPP, les infractions sont poursuivies et jugées conjointement lorsqu'un prévenu a commis plusieurs infractions (let. a) ou lorsqu'il y a plusieurs coauteurs ou participation (let. b). Ce principe, dit de l'unité, tend à éviter les jugements contradictoires et sert l'économie de la procédure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CPP, Code de procédure pénale, 2ème éd., Bâle 2016, n.3 ad art. 29).</w:t>
      </w:r>
    </w:p>
    <w:p>
      <w:r>
        <w:rPr>
          <w:b/>
        </w:rPr>
        <w:t>E. 2.2</w:t>
      </w:r>
    </w:p>
    <w:p>
      <w:r>
        <w:t>Selon l'art. 30 CPP, si des raisons objectives le justifient, le ministère public et les tribunaux peuvent ordonner la jonction ou la disjonction de procédures pénales. Cette disposition prévoit la possibilité de déroger au principe de l'unité de la procédure. Une telle dérogation exige toutefois des raisons objectives, ce qui exclut de se fonder, par exemple, sur de simples motifs de commodité (Y. JEANNERET / A. KUHN / C. PERRIER DEPEURSINGE (éds), Commentaire romand : Code de procédure pénale suisse , 2 ème éd., Bâle 2019, n. 2 ad art. 30). La disjonction des causes en vertu de l'art. 30 CP doit cependant rester l'exception et l'unité de la procédure la règle, dans un but d'économie de procédure, d'une part, mais aussi afin de prévenir le prononcé de décisions contraires, d'autre part. Ainsi, le Tribunal fédéral a considéré qu'en vertu du principe de l'unité de procédure, le ministère public était tenu de joindre des procédures à l'encontre du même prévenu quand bien même la nature des infractions était fort différente, en l'occurrence violences domestiques et escroquerie (ATF 138 IV 214 consid. 3.6 et 3.7).</w:t>
      </w:r>
    </w:p>
    <w:p>
      <w:r>
        <w:rPr>
          <w:b/>
        </w:rPr>
        <w:t>E. 2.3</w:t>
      </w:r>
    </w:p>
    <w:p>
      <w:r>
        <w:t>En l'espèce, si les deux procédures jointes ne présentent certes pas une connexité de faits, comme l'a retenu le Ministère public, cette différence ne constitue pas, à elle seule, un motif pour déroger au principe de l'unité de la procédure, au regard de la jurisprudence susmentionnée. L'avancement des deux causes apparaît en outre similaire et l'affirmation du recourant selon laquelle l'instruction de la P/6760/2024 serait susceptible d'être plus rapide relève de la plus pure conjecture. Il en va de même s'agissant de la complexification alléguée de la présente procédure, laquelle semble au demeurant bien avancée. Enfin, la jonction critiquée n’entraîne pas par elle-même d’accès aux données sensibles du recourant par les parties plaignantes constituées dans l’une des deux procédures, car les conditions de consultation d’un dossier pénal en cours sont régies par des normes spécifiques et distinctes ( cf . art. 101, 102 al. 1 et 108 CPP; ACPR/628/2021 du 23 septembre 2021 consid. 2.2). Partant, la décision de jonction ne prête pas le flanc à la critique.</w:t>
      </w:r>
    </w:p>
    <w:p>
      <w:r>
        <w:rPr>
          <w:b/>
        </w:rPr>
        <w:t>E. 3</w:t>
      </w:r>
    </w:p>
    <w:p>
      <w:r>
        <w:t>L'ordonnance querellée sera donc confirmée. Le recours, qui s'avère mal fondé, pouvait être traité d'emblée sans échange d'écritures, ni débats (art. 390 al. 2 et 5 a contrario CPP).</w:t>
      </w:r>
    </w:p>
    <w:p>
      <w:r>
        <w:rPr>
          <w:b/>
        </w:rPr>
        <w:t>E. 4</w:t>
      </w:r>
    </w:p>
    <w:p>
      <w:r>
        <w:t>Il n'y a pas lieu d'indemniser, à ce stade (cf. art. 135 al. 2 CPP), le défenseur d'office.</w:t>
      </w:r>
    </w:p>
    <w:p>
      <w:r>
        <w:rPr>
          <w:b/>
        </w:rPr>
        <w:t>E. 5</w:t>
      </w:r>
    </w:p>
    <w:p>
      <w:r>
        <w:t>Le recourant, qui succombe, supportera les frais envers l'État, qui comprendront un émolument de CHF 900.- (art. 428 al. 1 CPP et 13 al. 1 du Règlement fixant le tarif des frais en matière pénale, RTFMP ; E 4 10.03). L'autorité de recours est en effet tenue de dresser un état de frais pour la procédure de deuxième instance, sans égard à l'obtention de l'assistance judiciaire (arrêts du Tribunal fédéral 1B_372/2014 du 8 avril 2015 consid. 4.6 et 1B_203/2011 du 18 mai 2011 consid. 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