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P/2471/2016 vom 5. April 2019</w:t>
      </w:r>
    </w:p>
    <w:p>
      <w:r>
        <w:t>GE Cour de justice, 2019-04-05, FR</w:t>
      </w:r>
    </w:p>
    <w:p>
      <w:r>
        <w:rPr>
          <w:b/>
        </w:rPr>
        <w:t xml:space="preserve">Quelle: </w:t>
      </w:r>
      <w:r>
        <w:t>https://mcp.opencaselaw.ch/entscheid/ge_gerichte_P_2471_2016</w:t>
      </w:r>
    </w:p>
    <w:p>
      <w:r>
        <w:t>FR: GE_GERICHTE P/2471/2016 du 5 avril 2019</w:t>
      </w:r>
    </w:p>
    <w:p>
      <w:r>
        <w:t>IT: GE_GERICHTE P/2471/2016 del 5 aprile 2019</w:t>
      </w:r>
    </w:p>
    <w:p>
      <w:pPr>
        <w:pStyle w:val="Heading2"/>
      </w:pPr>
      <w:r>
        <w:t>Regeste</w:t>
      </w:r>
    </w:p>
    <w:p>
      <w:r>
        <w:t>LCR.90.al2; CP.34; CP.42; CP.47; CPP.428</w:t>
      </w:r>
    </w:p>
    <w:p>
      <w:pPr>
        <w:pStyle w:val="Heading2"/>
      </w:pPr>
      <w:r>
        <w:t>Erwägungen</w:t>
      </w:r>
    </w:p>
    <w:p>
      <w:r>
        <w:rPr>
          <w:b/>
        </w:rPr>
        <w:t>E. 1</w:t>
      </w:r>
    </w:p>
    <w:p>
      <w:r>
        <w:t>L'appel est recevable pour avoir été interjeté et motivé selon la forme et dans les délais prescrits (art. 398 et 399 du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(ATF 144 IV 345 consid. 2.2.3.1).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6B_1306/2017 du 17 mai 2018 consid. 2.1.1). 2.1.2. En matière de circulation routière,le conducteur d'un véhicule automobile ne saurait se voir condamner pour une infraction que s'il est établi à satisfaction de droit qu'il en est bien l'auteur.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S'il arrive à la conclusion que le détenteur, malgré ses dénégations, est bien le conducteur fautif, la condamna-tion est fondée (ATF 106 IV 142 consid. 3 p. 142). Il ne suffit pas au détenteur d'invoquer le droit au silence ou le droit de ne pas s'auto-incriminer pour échapper à une sanction lorsque sa culpabilité n'est pas douteuse (arrêts du Tribunal fédéral 6B_914/2015 du 30 juin 2016 consid. 1.2 ; 6B_237/2015 du 16 février 2016 consid. 2.1 et les références citées).</w:t>
      </w:r>
    </w:p>
    <w:p>
      <w:r>
        <w:rPr>
          <w:b/>
        </w:rPr>
        <w:t>E. 2.2</w:t>
      </w:r>
    </w:p>
    <w:p>
      <w:r>
        <w:t>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 mis sérieusement en danger la sécurité du trafic. Il y a création d'un danger sérieux pour la sécurité d'autrui non seulement en cas de mise en danger concrète, mais déjà en cas de mise en danger abstraite accrue (ATF 143 IV 508 consid. 1.3 p. 512 = SJ 2018 I 277 ; ATF 142 IV 93 consid. 3.1 p. 96 ; ATF 131 IV 133 consid. 3.2 p. 136 ; arrêt du Tribunal fédéral 6B_444/2016 du 3 avril 2017 consid. 1.1). Le comportement de l'auteur doit causer une mise en danger de la vie ou de la santé d'un être humain, à l'exclusion du patrimoine d'autrui (Y. JEANNERET, Les dispositions pénales de la loi sur la circulation routière , Berne 2007, n. 24 ad art. 90). Le comportement de l'auteur crée une mise en danger concrète lorsqu'il existe, selon le cours ordinaire des choses, une probabilité sérieuse de réalisation effective et imminente du risque, à savoir une atteinte à la vie ou à la santé d'au moins une personne déterminée. Ainsi, une mise en danger concrète sera retenue lorsque survient une collision, sous réserve toutefois du heurt à très faible vitesse, par exemple dans un bouchon ou lors d'une manoeuvre dans un parking (Y. JEANNERET, op. cit ., n. 26 ad art. 90 ; C. MIZEL, La violation grave des règles de la circulation , in PJA 2004, p. 1483 ss, spéc. 1491). Il y 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(arrêts du Tribunal fédéral 6B_23/2016 du 9 décembre 2016 consid. 3.2 ; 6B_117/2015 du 11 février 2016 consid. 13.2). L'existence d'un danger concret, d'un danger abstrait accru ou d'un danger tout simplement abstrait dépend des circonstances dans lesquelles la violation a eu lieu. Le critère déterminant pour conclure à l'existence d'un danger abstrait accru réside dans l'imminence du danger (ATF 131 IV 133 consid. 3.2 p. 136 et les références). La simple possibilité qu'un danger se réalise ne tombe toutefois sous le coup de l'art. 90 ch. 2 LCR que si, en raison de circonstances particulières, la survenance d'un danger concret ou même d'une blessure est très probable (ATF 143 IV 500 consid. 2 ; ATF 123 IV 88 consid. 3a p. 91 s. ; ATF 118 IV 285 consid. 3a p. 288). Dans le domaine des excès de vitesse, la jurisprudence a été amenée à fixer des règles précises afin d'assurer l'égalité de traitement.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143 IV 508 consid. 1.3 p. 512 = SJ 2018 I 277 ; ATF 132 II 234 consid. 3.1 p. 237 ss ; ATF 124 II 259 consid. 2b p. 261 ss ; ATF 123 II 106 consid. 2c p. 113 et les références ; arrêts du Tribunal fédéral 6B_444/2016 du 3 avril 2017 consid. 1.1 ; 6B_865/2014 du 2 avril 2015 consid. 1.5).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Le Tribunal fédéral a régulièrement nié l'existence de telles circon-stances à décharge (arrêts du Tribunal fédéral 6B_1011/2013 du 13 mars 2014 consid. 2.1 ; 6B_571/2012 du 8 avril 2013 consid. 3.4).</w:t>
      </w:r>
    </w:p>
    <w:p>
      <w:r>
        <w:rPr>
          <w:b/>
        </w:rPr>
        <w:t>E. 2.3</w:t>
      </w:r>
    </w:p>
    <w:p>
      <w:r>
        <w:t>En l'espèce, l'excès de vitesse de 33 km/h commis dans une localité le 5 septembre 2015 est constitutif d'une infraction à l'art. 90 al. 2 LCR, ce que l'appelant ne conteste pas, se contentant de relever que l'accusation n'avait pas établi qu'il était l'auteur de l'infraction. L'infraction a été commise avec le véhicule de l'appelant, à proximité de son domicile et sur un itinéraire qu'il était susceptible d'emprunter, l'avenue Louis-Casaï étant l'un des deux axes principaux lui permettant de s'y rendre. Aucun membre de sa famille n'habitait dans le périmètre immédiat du lieu de l'infraction à l'époque des faits, ce que l'appelant n'a d'ailleurs pas prétendu jusqu'à l'audience de jugement, alléguant alors que E______ aurait habité à proximité, ce que ce dernier n'a jamais dit. Même à considérer que l'appelant prêtait régulièrement son véhicule à son père et son frère pour des périodes de plusieurs jours consécutifs, ainsi qu'une fois ou deux par semaine à son beau-frère, on peut s'étonner qu'il ne se souvienne pas avoir conduit ou prêté son véhicule le soir des faits, le nombre de prêts et le cercle de bénéficiaires étant peu important à la date considérée. L'appelant ne peut pas être d'avantage suivi lorsqu'il allègue avoir procédé à toutes les vérifications d'usage pour identifier l'auteur de l'infraction immédiatement après réception du courrier de la police. Au contraire, son père a déclaré avoir discuté de cette affaire " à table " " trois mois " après la réception de l'avis au détenteur, précisant au surplus ne pas en " avoir beaucoup parlé ". Le frère de l'appelant n'a pas d'avantage indiqué avoir été contacté par ce dernier immédiatement après réception du courrier de la police. Quant à son beau-frère, il a déclaré être " sûr " de ne pas avoir été informé de cette " affaire " jusqu'au courrier du MP lui ayant été adressé un an et demi après les faits. Par ailleurs, contrairement à ce que soutient l'appelant, son frère et son beau-frère n'ont nullement mentionné l'existence d'une réunion qui aurait été tenue pour discuter de l'excès de vitesse. C'est ainsi à juste titre que le premier juge a retenu ces éléments à charge, dans la mesure où ils tendent à démontrer que l'appelant est bien l'auteur de l'excès de vitesse, sans quoi il est évident, au vu de la gravité de l'infraction commise, qu'il aurait entrepris des démarches plus sérieuses et plus rapides pour échapper aux conséquences d'une nouvelle procédure pénale peu après avoir bénéficié d'un sursis. Il apparait particulièrement révélateur que l'appelant n'ait pas même entretenu son beau-frère de l'excès de vitesse constaté, alors même que ce dernier était l'un des principaux utilisateurs de son véhicule et qu'il aurait résidé, selon les dires de l'appelant, à proximité du lieu de commission de l'infraction. Cela apparait d'autant plus surprenant que son beau-frère avait déjà commis une infraction au volant de son véhicule par le passé. Le père de l'appelant a été très évasif concernant le fait d'avoir emprunté la voiture " autour de la date de l'infraction " et d'avoir " peut-être fait un excès de vitesse ", ce qui ne saurait suffire à faire naître un doute insurmontable. De même, l'appelant ne saurait pas plus tirer d'argument quant à l'heure de la commission de l'infraction, dans la mesure où celle-ci n'est pas incompatible avec un repas du soir en famille. Au vu de ce qui précède, la CPAR a acquis la conviction, sur la base d'un faisceau d'indices concordants suffisant, que l'appelant est bien l'auteur de l'excès de vitesse constaté. Le jugement entrepris le reconnaissant coupable de violation grave des règles de la circulation routière sera ainsi confirmé sur ce point. 3.1. La violation grave des règles de la circulation routière est passible d'une peine privative de liberté de trois ans au plus ou d'une peine pécuniaire. 3.2.1. À l'aune de l'art. 2 CP, la réforme du droit des sanctions entrée en vigueur le 1 er janvier 2018 marque un durcissement du droit des sanctions et est ainsi, en principe, moins favorable à la personne condamnée (M. DUPUIS/ L. MOREILLON/ C. PIGUET/ S. BERGER/ M. MAZOU/ V. RODIGARI [éds], Code pénal - Petit commentaire , 2 e éd., Bâle 2017, Rem. prél. ad art. 34 à 41, n. 6). 3.2.2. En l'occurrence, il sera fait application du droit en vigueur jusqu'au 31 décembre 2017, l'infraction reprochée à l'appelant ayant été commise sous l'empire de ce droit, et le nouveau droit des sanctions n'apparaissant pas plus favorable à l'appelant. 3.3.1.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3.3.2. Selon l'art. 34 al. 1 aCP, la peine pécuniaire ne peut excéder 360 jours-amende ; le juge en fixe le nombre en fonction de la culpabilité de l'auteur. Le jour-amende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(art. 34 al. 2 aCP). 3.3.3. Aux termes de l'art. 42 al. 1 CP, le juge suspend en règle générale l'exécution d'une peine privative de liberté de six mois au moins et de deux ans au plus lorsqu'une peine ferme ne paraît pas nécessaire pour détourner l'auteur d'autres crimes ou délits.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juge doit par ailleurs motiver sa décision de manière suffisante (cf. art. 50 CP). Sa motivation doit permettre de vérifier s'il a tenu compte de tous les éléments pertinents et comment ils ont été appréciés.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135 IV 180 consid. 2.1 p. 185 s. et les références ; ATF 134 IV 140 consid. 4.2 p. 143 ; arrêts du Tribunal fédéral 6B_1339/2016 du 23 mars 2017 consid. 1.1.1 ; 6B_372/2016 du 22 mars 2017 consid. 4). 3.4. En l'espèce, l'appelant a gravement enfreint les règles de la circulation routière et pris le risque de faire courir un danger sérieux aux autres usagers de la route, comportement dénotant son mépris de la loi. Sa collaboration à l'enquête a été mauvaise. Il s'est en effet contenté de nier, et encore de façon très relative, tout au long de la procédure être l'auteur de l'infraction commise, si bien que sa prise de conscience du caractère répréhensible de son acte est nulle. Compte tenu de l'attitude désinvolte de l'appelant et du fait qu'il a déjà été condamné pour une infraction aux règles de la circulation routière en juillet 2015, sans que cela ne le dissuade de récidiver dans le délai d'épreuve de trois ans fixé par le juge précédent, le pronostic est défavorable, de sorte que le principe de la peine ferme sera confirmé. La CPAR considère la peine pécuniaire de 90 jours-amende prononcée par le premier juge comme adéquate et proportionnée à la faute de l'appelant. La quotité fixée à CHF 30.- l'unité correspond à la situation personnelle, notamment financière, de l'appelant et sera aussi confirmée.</w:t>
      </w:r>
    </w:p>
    <w:p>
      <w:r>
        <w:rPr>
          <w:b/>
        </w:rPr>
        <w:t>E. 4</w:t>
      </w:r>
    </w:p>
    <w:p>
      <w:r>
        <w:t>4.1. 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6B_136/2016 du 23 janvier 2017 consid. 4.1.2).</w:t>
      </w:r>
    </w:p>
    <w:p>
      <w:r>
        <w:rPr>
          <w:b/>
        </w:rPr>
        <w:t>E. 4.2</w:t>
      </w:r>
    </w:p>
    <w:p>
      <w:r>
        <w:t>L'appelant a succombé aussi bien en première qu'en seconde instance, de sorte qu'il convient de confirmer la répartition des frais de première instance et de lui faire supporter l'intégralité des frais de la procédure d'appel, lesquels comprennent un émolument de CHF 2'000.- (art. 426 al.1 CPP et art. 14 al. 1 let. e du Règlement fixant le tarif des frais en matière pénale [RTFMP - E 4 10.03]).</w:t>
      </w:r>
    </w:p>
    <w:p>
      <w:r>
        <w:rPr>
          <w:b/>
        </w:rPr>
        <w:t>E. 5</w:t>
      </w:r>
    </w:p>
    <w:p>
      <w:r>
        <w:t>Par identité de motifs, l'appelant ne saurait prétendre à une indemnité fondée sur l'art. 429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