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P/24706/2019 vom 29. Januar 2020</w:t>
      </w:r>
    </w:p>
    <w:p>
      <w:r>
        <w:t>GE Cour de justice, 2020-01-29, FR</w:t>
      </w:r>
    </w:p>
    <w:p>
      <w:r>
        <w:rPr>
          <w:b/>
        </w:rPr>
        <w:t xml:space="preserve">Quelle: </w:t>
      </w:r>
      <w:r>
        <w:t>https://mcp.opencaselaw.ch/entscheid/ge_gerichte_P_24706_2019</w:t>
      </w:r>
    </w:p>
    <w:p>
      <w:r>
        <w:t>FR: GE_GERICHTE P/24706/2019 du 29 janvier 2020</w:t>
      </w:r>
    </w:p>
    <w:p>
      <w:r>
        <w:t>IT: GE_GERICHTE P/24706/2019 del 29 gennaio 2020</w:t>
      </w:r>
    </w:p>
    <w:p>
      <w:pPr>
        <w:pStyle w:val="Heading2"/>
      </w:pPr>
      <w:r>
        <w:t>Regeste</w:t>
      </w:r>
    </w:p>
    <w:p>
      <w:r>
        <w:t>ABUS DE CONFIANCE;PRÊT À USAGE | CPP.310; CP.138</w:t>
      </w:r>
    </w:p>
    <w:p>
      <w:pPr>
        <w:pStyle w:val="Heading2"/>
      </w:pPr>
      <w:r>
        <w:t>Erwägungen</w:t>
      </w:r>
    </w:p>
    <w:p>
      <w:r>
        <w:rPr>
          <w:b/>
        </w:rPr>
        <w:t>E. 1.1</w:t>
      </w:r>
    </w:p>
    <w:p>
      <w:r>
        <w:t>Bien que déposé plus d'un mois après la date de l'ordonnance querellée, le recours sera réputé avoir été formé en temps utile, les formalités de notification selon l'art. 85 al. 2 CPP n'ayant pas été observées. Au surplus, le recours respecte la forme requise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réunies (let. a). Le ministère public doit être certain que les faits ne sont pas punissables (ATF 137 IV 285 consid. 2.3 p. 287 et les références citées). Le principe " in dubio pro duriore"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Une non-entrée en matière s'impose également lorsque le litige est de nature purement civile (ATF 137 IV 285 consid. 2.3).</w:t>
      </w:r>
    </w:p>
    <w:p>
      <w:r>
        <w:rPr>
          <w:b/>
        </w:rPr>
        <w:t>E. 3.2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 er décembre 2016 consid. 4; 6B_635/2015 du 9 février 2016 consid. 3.1). Le comportement délictueux consiste à utiliser la valeur patrimoniale contrairement aux instructions reçues, en s'écartant de la destination fixée (ATF 129 IV 257 consid. 2.2.1 p. 259; arrêt du Tribunal fédéral 6B_356/2016 du 6 mars 2017 consid. 2.1).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S'agissant d'un prêt, un tel devoir fera en règle générale défaut, puisque le débiteur n'est en principe tenu que de rembourser la somme prêtée. Des fonds prêtés ne représentent d'ailleurs qu'exceptionnellement des valeurs patrimoniales appartenant à autrui. L'appartenance à autrui des valeurs patrimoniales prêtées et le devoir d'en conserver la contre-valeur ( Werterhaltungspglicht ) ne seront retenues que lorsque leur affectation est clairement prédéfinie, et sert dans le même temps à assurer la couverture du prêteur ou, à tout le moins, à diminuer son risque de perte (M. DUPUIS / L. MOREILLON / C. PIGUET / S. BERGER / M. MAZOU / V. RODIGARI (éds), Code pénal - Petit commentaire , 2 e éd., Bale 2017, n. 35 ad . art. 138 CP). Du point de vue subjectif, l'auteur doit avoir agi intentionnellement et dans un dessein d'enrichissement illégitime ou de procurer à un tiers un enrichissement illégitime, qui peut être réalisé par un dol éventuel (ATF 133 IV 21 consid. 6.1.2 p. 27 et les références; ATF 118 IV 27 consid. 2a p. 34; arrêts du Tribunal fédéral 6B_356/2016 du 6 mars 2017 consid. 2.1; 6B_635/2019 du 9 février 2016 consid. 3.1).</w:t>
      </w:r>
    </w:p>
    <w:p>
      <w:r>
        <w:rPr>
          <w:b/>
        </w:rPr>
        <w:t>E. 3.3</w:t>
      </w:r>
    </w:p>
    <w:p>
      <w:r>
        <w:t>En l'espèce, le recourant se plaint que la mise en cause ne lui a pas remboursé la somme prêtée, sans invoquer que cette dernière aurait eu pour obligation d'en conserver constamment la contre-valeur. Au contraire, il admet que les sommes prêtées étaient destinées au paiement de diverses factures médicales. La mise en cause était donc uniquement tenue de rembourser la somme prêtée. Par conséquent, il ne s'agit pas de valeurs confiées au sens de l'art. 138 ch. 1 al. 2 CP, de sorte que, même si la mise en cause n'avait pas remboursé la somme prêtée - question qui n'a pas à être élucidée en l'espèce, vu l'issue du litige -, il n'y a pas de prévention pénale d'abus de confiance. Au surplus, le conflit opposant les parties au sujet de la qualification juridique (don ou prêt) de la somme versée à la mise en cause est de nature purement civile. Les mesures d'enquête sollicitées par le recourant, soit la vérification des relevés de compte de la mise en cause et la tenue d'une audience de confrontation, n'apparaissent pas propres à modifier cette appréciation. Elles porteraient sur des éléments non pertinents pour l'issue du litige, à savoir l'existence d'une obligation contractuelle de la mise en cause à l'égard du recourant. L'instruction pénale n'ayant pas vocation de préparer les voies civiles, la confirmation de l'ordonnance querellée s'impose pour ce motif également.</w:t>
      </w:r>
    </w:p>
    <w:p>
      <w:r>
        <w:rPr>
          <w:b/>
        </w:rPr>
        <w:t>E. 4</w:t>
      </w:r>
    </w:p>
    <w:p>
      <w:r>
        <w:t>Justifiée, l'ordonnance querellée sera donc confirmée.</w:t>
      </w:r>
    </w:p>
    <w:p>
      <w:r>
        <w:rPr>
          <w:b/>
        </w:rPr>
        <w:t>E. 5</w:t>
      </w:r>
    </w:p>
    <w:p>
      <w:r>
        <w:t>Le recourant, qui succombe, supportera les frais envers l'État, fixés en totalité à CHF  300.-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