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P/2469/2017 vom 19. März 2019</w:t>
      </w:r>
    </w:p>
    <w:p>
      <w:r>
        <w:t>GE Cour de justice, 2019-03-19, FR</w:t>
      </w:r>
    </w:p>
    <w:p>
      <w:r>
        <w:rPr>
          <w:b/>
        </w:rPr>
        <w:t xml:space="preserve">Quelle: </w:t>
      </w:r>
      <w:r>
        <w:t>https://mcp.opencaselaw.ch/entscheid/ge_gerichte_P_2469_2017</w:t>
      </w:r>
    </w:p>
    <w:p>
      <w:r>
        <w:t>FR: GE_GERICHTE P/2469/2017 du 19 mars 2019</w:t>
      </w:r>
    </w:p>
    <w:p>
      <w:r>
        <w:t>IT: GE_GERICHTE P/2469/2017 del 19 marzo 2019</w:t>
      </w:r>
    </w:p>
    <w:p>
      <w:pPr>
        <w:pStyle w:val="Heading2"/>
      </w:pPr>
      <w:r>
        <w:t>Regeste</w:t>
      </w:r>
    </w:p>
    <w:p>
      <w:r>
        <w:t>DÉFAUT(CONTUMACE) | CPP.368</w:t>
      </w:r>
    </w:p>
    <w:p>
      <w:pPr>
        <w:pStyle w:val="Heading2"/>
      </w:pPr>
      <w:r>
        <w:t>Erwägungen</w:t>
      </w:r>
    </w:p>
    <w:p>
      <w:r>
        <w:rPr>
          <w:b/>
        </w:rPr>
        <w:t>E. 1</w:t>
      </w:r>
    </w:p>
    <w:p>
      <w:r>
        <w:t>Selon l'article 368 du Code de procédure pénale, du 5 octobre 2007 [CPP ; RS 312.0], si le jugement rendu par défaut peut être notifié personnellement au condamné, celui-ci doit être informé sur son droit de demander un nouveau jugement au tribunal dans les dix jours, par écrit ou oralement. L'article 371 CPP prescrit pour sa part que tant que court le délai d'appel, le condamné peut faire une déclaration d'appel contre un jugement rendu par défaut parallèlement à sa demande de nouveau jugement ou au lieu de celle-ci. Il doit en être informé conformément à l'art. 368, al. 1. Un appel n'est recevable que si la demande de nouveau jugement a été rejetée.</w:t>
      </w:r>
    </w:p>
    <w:p>
      <w:r>
        <w:rPr>
          <w:b/>
        </w:rPr>
        <w:t>E. 2</w:t>
      </w:r>
    </w:p>
    <w:p>
      <w:r>
        <w:t>L'application de l'article 368 CPP implique une notification personnelle au condamné; les règles de l'article 85 al. 3 et 4 CPP ne sont pas applicables. Elles le sont en revanche s'agissant du délai d'appel (M. NIGGLI / H. WIPRÄCHTIGER, Basler Kommentar Strafrecht II : Art. 111-392 StGB , n. 6 ad art. 368 CPP et n. 2 et 3 ad art. 372 CPP 3e éd., Bâle 2013; A. DONATSCH / T. HANSJAKOB / V. LIEBER (éds), Kommentar zur Schweizerischen Strafprozessordnung (StPO) , 2e éd., Zurich 2014 n. 2 ad art. 368 CPP et n. 3 ad art. 371 CPP). La notification du jugement par défaut au Conseil du prévenu suffit donc à faire courir le délai d'appel (art. 87 al. 3 CPP). Celui-ci ayant accepté son mandat de défenseur d'office, il doit notamment en accepter les conséquences, l'art. 87 al. 3 CPP étant d'ordre impératif (ATF 144 IV 64 ). L'appel est ainsi recevable pour avoir été interjeté et motivé selon la forme et dans les délais prescrits (art. 398 et 399 CPP). En effet,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 consid. 2). Le délai pour former une demande de nouveau jugement au sens de l'art. 368 CPP n'ayant a priori pas commencé à courir, il ne peut en particulier pas être reproché au prévenu de n'avoir pas agi par cette voie; l'appel est ainsi recevable nonobstant la teneur de l'art. 371 al. 2 CPP.</w:t>
      </w:r>
    </w:p>
    <w:p>
      <w:r>
        <w:rPr>
          <w:b/>
        </w:rPr>
        <w:t>E. 3</w:t>
      </w:r>
    </w:p>
    <w:p>
      <w:r>
        <w:t>L'appelant soulève un empêchement de procéder, au motif que les conditions de mise en oeuvre de la procédure par défaut n'étaient pas réalisées. Ce faisant, l'appelant invoque curieusement un motif empêchant l'examen de son propre appel. Mais l'appelant invoque en réalité un grief de fond, relatif à la décision de première instance. En effet, la question de savoir si le tribunal de première instance était autorisé à engager la procédure par défaut, selon les conditions de l'art. 366 CPP, doit être traitée, cas échéant, dans le cadre d'un éventuel appel déposé contre le jugement par défaut (arrêts du Tribunal fédéral du ______ 2016 en la cause 6B______/2015, consid. 3.3.1; du 14 décembre 2016 en la cause 6B______/2016, consid. 1.1). La recevabilité de l'appel étant donnée, il convient dès lors de réserver la suite de la procédure, l'instruction proprement dite n'ayant pas été ordonnée puisque l'appelant a sollicité la Cour d'examiner cette question sous l'angle de l'article 403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