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P/24686/2017 vom 21. Dezember 2018</w:t>
      </w:r>
    </w:p>
    <w:p>
      <w:r>
        <w:t>GE Cour de justice, 2018-12-21, FR</w:t>
      </w:r>
    </w:p>
    <w:p>
      <w:r>
        <w:rPr>
          <w:b/>
        </w:rPr>
        <w:t xml:space="preserve">Quelle: </w:t>
      </w:r>
      <w:r>
        <w:t>https://mcp.opencaselaw.ch/entscheid/ge_gerichte_P_24686_2017</w:t>
      </w:r>
    </w:p>
    <w:p>
      <w:r>
        <w:t>FR: GE_GERICHTE P/24686/2017 du 21 décembre 2018</w:t>
      </w:r>
    </w:p>
    <w:p>
      <w:r>
        <w:t>IT: GE_GERICHTE P/24686/2017 del 21 dicembre 2018</w:t>
      </w:r>
    </w:p>
    <w:p>
      <w:pPr>
        <w:pStyle w:val="Heading2"/>
      </w:pPr>
      <w:r>
        <w:t>Regeste</w:t>
      </w:r>
    </w:p>
    <w:p>
      <w:r>
        <w:t>DÉFENSE D'OFFICE ; COMPLEXITÉ DE LA PROCÉDURE ; CAS BÉNIN ; DÉNUEMENT | CP.132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d'avoir considéré qu'il pouvait mener seul la présente procédure.![endif]&gt;![if&gt;</w:t>
      </w:r>
    </w:p>
    <w:p>
      <w:r>
        <w:rPr>
          <w:b/>
        </w:rPr>
        <w:t>E. 3.1</w:t>
      </w:r>
    </w:p>
    <w:p>
      <w:r>
        <w:t>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 En l'espèce, ni le recourant ni le Ministère public n'ont abordé la question de l'indigence, qui peut, en l'état, demeurer indécise au vu des considérations qui suivent.</w:t>
      </w:r>
    </w:p>
    <w:p>
      <w:r>
        <w:rPr>
          <w:b/>
        </w:rPr>
        <w:t>E. 3.2</w:t>
      </w:r>
    </w:p>
    <w:p>
      <w:r>
        <w:t>Les intérêts du prévenu justifient une défense d'office lorsque la cause n'est pas de peu de gravité et qu'elle présente, sur le plan des faits ou du droit, des difficultés que le prévenu seul ne pourrait pas surmonter (art. 132 al. 2 CPP), ces deux conditions doivent être réunies cumulativement (arrêts du Tribunal fédéral 1B_477/2011 du 4 janvier 2012 consid. 2.2. et 1B_138/2015 du 1 er juillte 2015 consid. 2.1). En tout état de cause, une affaire n'est pas de peu de gravité lorsque le prévenu est passible d'une peine privative de liberté de plus de quatre mois ou d'une peine pécuniaire de plus de 120 jours-amende (art. 132 al. 3 CPP). Le Tribunal fédéral retient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il convient surtout de tenir compte des circonstances particulières de l'espèce et de la peine concrètement encourue (arrêt du Tribunal fédéral 1B_138/2015 du 1 er juillet 2015 consid. 2.3).</w:t>
      </w:r>
    </w:p>
    <w:p>
      <w:r>
        <w:rPr>
          <w:b/>
        </w:rPr>
        <w:t>E. 3.3</w:t>
      </w:r>
    </w:p>
    <w:p>
      <w:r>
        <w:t>Pour évaluer si l'affaire présente des difficultés que le prévenu ne pourrait pas surmonter sans l'aide d'un avocat, il y a lieu d'apprécier l'ensemble des circonstances concrètes (ATF 128 I 225 consid. 2.5.2 p.  232; arrêt du Tribunal fédéral 1B_257/2013 du 28 octobre 2013 consid. 2.1 = SJ 2014 I 273).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(ATF 128 I 225 précité; arrêts du Tribunal fédéral 1B_203/2014 du 2 octobre 2014 consid. 2.1; 1B_257/2013 du 28 octobre 2013 consid. 2.1 = SJ 2014 I 273 et 1B_412/2011 du 13 septembre 2011 consid. 3.2) et des mesures qui paraissent nécessaires, dans le cas particulier, pour assurer sa défense, notamment en ce qui concerne les preuves qu'il devra offrir (ATF 115 Ia 103 consid. 4 p. 105). En tout état de cause, une affaire n'est pas de peu de gravité lorsque le prévenu est passible d'une peine privative de liberté de plus de quatre mois ou d'une peine pécuniaire de plus de 120 jours-amende (art. 132 al. 3 CPP).![endif]&gt;![if&gt;</w:t>
      </w:r>
    </w:p>
    <w:p>
      <w:r>
        <w:rPr>
          <w:b/>
        </w:rPr>
        <w:t>E. 3.4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avoir.![endif]&gt;![if&gt;</w:t>
      </w:r>
    </w:p>
    <w:p>
      <w:r>
        <w:rPr>
          <w:b/>
        </w:rPr>
        <w:t>E. 3.5</w:t>
      </w:r>
    </w:p>
    <w:p>
      <w:r>
        <w:t>En l'espèce, le recourant a été condamné à une reprise pour une infraction identique à celle pour laquelle il est présentement poursuivi. Le sursis prononcé pourrait donc être révoqué. La peine à laquelle il s'expose – au vu de l'ordonnance pénale annoncée – ne pourra pas excéder 180 jours-amende ou 6 mois de privation de liberté (art. 352 al. 1 let. b et d CPP), de sorte que, en cas de condamnation dans la présente cause, une peine ferme (pécuniaire ou privative de liberté) n'est pas exclue. ![endif]&gt;![if&gt; En revanche, il paraît peu probable, même au vu de la période pénale, soit douze mois de non-paiement de contributions à l'entretien de sa femme, que le recourant soit concrètement passible d'une peine privative de liberté de plus de 4 mois ou d'une peine pécuniaire dépassant 120 jours-amende, de sorte que la première condition ne paraît pas remplie.</w:t>
      </w:r>
    </w:p>
    <w:p>
      <w:r>
        <w:rPr>
          <w:b/>
        </w:rPr>
        <w:t>E. 3.6</w:t>
      </w:r>
    </w:p>
    <w:p>
      <w:r>
        <w:t>Le recourant prétend que la présente cause serait complexe parce que la pension en vigueur absorbait tous ses revenus et qu'il ne maîtrisait pas toutes les nuances de la langue française.![endif]&gt;![if&gt; Ces arguments tombent à faux. À ce stade, où l'instruction est terminée, l'infraction pour laquelle le recourant est poursuivi ne présente pas de difficultés qu'il ne serait pas en mesure de surmonter seul, sans l'aide d'un avocat (cf. arrêt du Tribunal fédéral 1B_94/2018 du 9 mars 2018 consid. 2). La prétendue " complexité " de la cause ne tient pas à l'existence et aux effets du jugement sur mesures protectrices, toujours en vigueur, mais tout au plus à la désinvolture ou au défaut de coopération qui ont été reprochés au recourant – et qui ne dépendent que de lui – par deux autorités judiciaires différentes. Quoi qu'il en soit, le recourant ne saurait prétendre que le déroulement de la procédure pénale et ses enjeux ne lui seraient pas familiers. Il a déjà dû comparaître et se défendre d'une semblable accusation de violation d'obligation alimentaire, qui avait été tranchée dans un premier temps par voie d'ordonnance pénale, soit la même issue que celle annoncée en l'espèce par le Ministère public. Par conséquent, le recourant est parfaitement en mesure de faire face à la suite de la procédure, même s'il devait former opposition à l'ordonnance pénale à venir et même s'il n'était pas rompu à toutes les subtilités du français – ce que son audition au Ministère public ni son acte de recours, rédigé en personne, ne laissent pourtant transparaître –. On observera d'ailleurs qu'en cas d'opposition – qui n'a pas besoin d'être motivée lorsqu'elle émane du prévenu (art. 354 al. 2 CPP) –, la procédure est en principe orale, ce qui prémunit suffisamment contre tout risque d'incompréhension.</w:t>
      </w:r>
    </w:p>
    <w:p>
      <w:r>
        <w:rPr>
          <w:b/>
        </w:rPr>
        <w:t>E. 4</w:t>
      </w:r>
    </w:p>
    <w:p>
      <w:r>
        <w:t>Justifiée, l'ordonnance querellée sera donc confirmée.![endif]&gt;![if&gt;</w:t>
      </w:r>
    </w:p>
    <w:p>
      <w:r>
        <w:rPr>
          <w:b/>
        </w:rPr>
        <w:t>E. 5</w:t>
      </w:r>
    </w:p>
    <w:p>
      <w:r>
        <w:t>Les frais resteront à la charge de l'État, quand bien même la question de la témérité du recours (art. 20 RAJ) eût pu se poser.![endif]&gt;![if&gt;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