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P/24674/2017 vom 29. April 2019</w:t>
      </w:r>
    </w:p>
    <w:p>
      <w:r>
        <w:t>GE Cour de justice, 2019-04-29, FR</w:t>
      </w:r>
    </w:p>
    <w:p>
      <w:r>
        <w:rPr>
          <w:b/>
        </w:rPr>
        <w:t xml:space="preserve">Quelle: </w:t>
      </w:r>
      <w:r>
        <w:t>https://mcp.opencaselaw.ch/entscheid/ge_gerichte_P_24674_2017</w:t>
      </w:r>
    </w:p>
    <w:p>
      <w:r>
        <w:t>FR: GE_GERICHTE P/24674/2017 du 29 avril 2019</w:t>
      </w:r>
    </w:p>
    <w:p>
      <w:r>
        <w:t>IT: GE_GERICHTE P/24674/2017 del 29 aprile 2019</w:t>
      </w:r>
    </w:p>
    <w:p>
      <w:pPr>
        <w:pStyle w:val="Heading2"/>
      </w:pPr>
      <w:r>
        <w:t>Regeste</w:t>
      </w:r>
    </w:p>
    <w:p>
      <w:r>
        <w:t>DISPOSITIONS PÉNALES DE LA LSTUP; DISPOSITIONS PÉNALES DE LA LEI; ÉMOLUMENT DE JUSTICE ; ACQUITTEMENT | LStup.19.al1.letc; LStup.19.ala; LEI.115.al1.leta; LEI.115.al1.letb; CPP.426</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19 al. 1 let. c LStup est passible d'une peine privative de liberté de trois ans au plus ou d'une peine pécuniaire, alors que l'art. 19a LStup de l'amende. Quant à l'art. 115 al. 1 let. a et b LEI, il punit d'une peine privative de liberté d'un an au plus ou d'une peine pécuniaire quiconque y déroge. 2.2.1.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6B_1428/2016 du 3 octobre 2017 consid. 4.1 ; 6B_326/2016 du 22 mars 2017 consid. 4.1). 2.2.2.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(ATF 138 IV 120 consid. 5.2). 2.2.3. Selon l'art. 34 aCP, applicable à l'intimé dans la mesure où il lui est plus favorable que le nouveau droit des sanctions entré en vigueur le 1 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2.2.4.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2.3</w:t>
      </w:r>
    </w:p>
    <w:p>
      <w:r>
        <w:t>En l'espèce, il convient préalablement de relever que, contrairement à ce que soutient l'appelant, il a été condamné non seulement du chef d'infractions aux art. 19 al. 1 let. c et 19a LStup mais également à l'art. 115 al. 1 let. a et b LEI, ce qui ressort des considérants 2.1.1 à 2.2.1 et du dispositif du jugement entrepris. Ainsi, la faute commise est d'autant moins légère que l'entrée et le séjour illégaux entrent en concours avec le délit à la LStup, facteur aggravant justifiant l'augmentation de la peine dans une juste proportion. Si les quantités trafiquées ne sont, certes, pas importantes, il s'agit néanmoins de stupéfiants, lesquels sont dangereux pour la santé des consommateurs. L'appelant a agi pour des mobiles égoïstes, à savoir par pure convenance personnelle et par appât du gain, étant toutefois relevé qu'il est lui-même toxicomane. Pour précaire qu'elle soit, la condition de l'appelant ne justifie pas qu'il s'adonne au trafic de marijuana ni qu'il séjourne illégalement en Suisse. Cette précarité résulte d'ailleurs de son refus de retourner en Italie, où il est pourtant au bénéfice d'une autorisation de séjour valable, ou encore dans son pays d'origine, alors que toute sa famille y réside encore. De surcroît, s'il est vrai que le prévenu n'a pas d'antécédent - facteur neutre dans la fixation de la peine (ATF 136 IV 1 consid. 2.6) -, il s'est toutefois obstiné à séjourner en Suisse après la notification de la première ordonnance pénale intervenue le 30 novembre, ce qui démontre l'intensité de la volonté délictuelle. La collaboration de l'appelant à la procédure n'a pas été bonne, dès lors que, jusqu'à l'audience de jugement, il a nié les faits reprochés, alors même que le 29 novembre 2017, il a été pris en flagrant délit et filmé durant la transaction. Eu égard à ces considérations, la peine pécuniaire infligée par le premier juge, à savoir 100 jours-amende à CHF 10.- l'unité est adéquate, de sorte qu'elle sera confirmée et l'appel rejeté. Le sursis, acquis à l’appelant (art. 391 al. 2 CPP) et dont les conditions sont en tout état de cause remplies, sera confirmé, tout comme le délai d’épreuve fixé à trois ans, compte tenu de son absence de prise de conscience (art. 44 al. 1 CP). S'agissant de la contravention (art. 19a LStup), l'amende de CHF 100.-, dont la quotité n'est toutefois pas contestée, prend adéquatement en compte sa situation financière et sa faute. A défaut de paiement, une peine de substitution d'un jour, sanctionne correctement la consommation de stupéfiants de l'appelant réprimée dans le cadre de la présente procédure. Par conséquent, le jugement entrepris sera confirmé et l'appel rejeté.</w:t>
      </w:r>
    </w:p>
    <w:p>
      <w:r>
        <w:rPr>
          <w:b/>
        </w:rPr>
        <w:t>E. 3</w:t>
      </w:r>
    </w:p>
    <w:p>
      <w:r>
        <w:t>3.1.1.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Le comportement en question doit en outre se trouver dans une relation de causalité adéquate avec l'ouverture de l'enquête ou les obstacles mis à celle-ci (ATF 116 Ia 162 consid. 2c p. 170 s. et plus récemment arrêt 6B_1146/2016 du 14 juillet 2017 consid. 1.3).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arrêt 6B_1146/2016 du 14 juillet 2017 consid. 1.3).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arrêt 6B_1146/2016 du 14 juillet 2017 consid. 1.3). Le comportement du prévenu est illicite lorsqu'il viole manifestement une obligation juridique directe ou indirecte d'agir ou qu'il omet d'agir (L. MOREILLON / A. PAREIN-REYMOND, Petit commentaire CPP , Bâle 2016, n. 14 ad art. 426). Pour déterminer si un comportement est propre au sens de l'art. 426 al. 2 CPP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 Code des obligations - RS 220). De telles normes peuvent résulter de l'ensemble de l'ordre juridique suisse. Il peut s'agir d'une norme de droit écrit ou non écrit, de droit fédéral ou cantonal. En particulier, la violation d'une norme de droit administratif peut être suffisante pour permettre l'application de l'art. 426 al. 2 CPP (arrêt du Tribunal fédéral 6B_156/2017 du 22 décembre 2017 consid. 4.4). Le fait reproché doit constituer une violation claire de la norme de comportement (ATF 119 Ia 332 consid. 1b p. 334 ; 116 Ia 162 consid. 2c p. 170 = SJ 1991 27 ; arrêts du Tribunal fédéral 6B_1172/2016 du 29 août 2017 consid. 1.3 ; 6B_1146/2016 du 14 juillet 2017 consid. 1.3), sans égard aux intérêts que cette norme vise à protéger (arrêt du Tribunal fédéral 6B_156/2017 du 22 décembre 2017 consid. 4.4). 3.1.2. Selon l'art. 428 al. 1 et 3 CPP, les frais de la procédure de recours sont mis à la charge des parties dans la mesure où elles ont obtenu gain de cause ou succombé. 3.2.1. En l’espèce, s'il est vrai que le prévenu a, en définitive, été acquitté de trafic de stupéfiants s'agissant des faits survenus les 3 et 4 janvier 2018, il n'en demeure pas moins qu'il a été reconnu coupable de consommation de stupéfiants pour ces mêmes faits, en application du principe in dubio pro reo . Son comportement, contraire à l'ordre juridique, a justifié qu'une procédure pénale soit ouverte contre lui, ceci non seulement pour infraction à la LStup, mais également à la LEI, pour laquelle il a également été condamné. Aussi, la CPAR considère que nonobstant l'acquittement du prévenu du chef d'infraction à l'art. 19 al. 1 let. c et d LStup pour les faits des 3 et 4 janvier 2018, il se justifie de mettre à sa charge tous les frais de la procédure de première instance. 3.2.2. L'appelant, qui succombe intégralement supportera les frais de la procédure envers l'Etat, lesquels comprennent un émolument de CHF 1'500.-.</w:t>
      </w:r>
    </w:p>
    <w:p>
      <w:r>
        <w:rPr>
          <w:b/>
        </w:rPr>
        <w:t>E. 4</w:t>
      </w:r>
    </w:p>
    <w:p>
      <w:r>
        <w:t>Considéré globalement, l’état de frais produit par le défenseur d'office de l'appelant paraît adéquat et conforme aux dispositions et principes régissant l'assistance judiciaire pénale. Sa rémunération sera ainsi arrêtée à CHF 775.- pour 3 heures d'activité au tarif de CHF 200.-/heure plus la majoration forfaitaire de 20% et l'équivalent de la TVA au taux de 7.7% en CHF 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