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P/24616/2023 vom 13. November 2023</w:t>
      </w:r>
    </w:p>
    <w:p>
      <w:r>
        <w:t>GE Cour de justice, 2023-11-13, FR</w:t>
      </w:r>
    </w:p>
    <w:p>
      <w:r>
        <w:rPr>
          <w:b/>
        </w:rPr>
        <w:t xml:space="preserve">Quelle: </w:t>
      </w:r>
      <w:r>
        <w:t>https://mcp.opencaselaw.ch/entscheid/ge_gerichte_P_24616_2023</w:t>
      </w:r>
    </w:p>
    <w:p>
      <w:r>
        <w:t>FR: GE_GERICHTE P/24616/2023 du 13 novembre 2023</w:t>
      </w:r>
    </w:p>
    <w:p>
      <w:r>
        <w:t>IT: GE_GERICHTE P/24616/2023 del 13 novembre 2023</w:t>
      </w:r>
    </w:p>
    <w:p>
      <w:pPr>
        <w:pStyle w:val="Heading2"/>
      </w:pPr>
      <w:r>
        <w:t>Regeste</w:t>
      </w:r>
    </w:p>
    <w:p>
      <w:r>
        <w:t>ORDONNANCE DE NON-ENTRÉE EN MATIÈRE;VOL(DROIT PÉNAL);APPROPRIATION ILLÉGITIME;ESCROQUERIE;ASTUCE | CPP.310; CP.139; CP.52; CP.137; CP.146</w:t>
      </w:r>
    </w:p>
    <w:p>
      <w:pPr>
        <w:pStyle w:val="Heading2"/>
      </w:pPr>
      <w:r>
        <w:t>Erwägungen</w:t>
      </w:r>
    </w:p>
    <w:p>
      <w:r>
        <w:rPr>
          <w:b/>
        </w:rPr>
        <w:t>E. 1</w:t>
      </w:r>
    </w:p>
    <w:p>
      <w:r>
        <w:t>Les recours sont recevables pour avoir été déposés selon la forme et dans le délai prescrits (art. 385 al. 1 et 396 al. 1 CPP), concerner des décisions sujettes à recours auprès de la Chambre de céans (art. 393 al. 1 let. a CPP) et émaner des parties plaignantes, alternativement du prévenu, qui, parties à la procédure (art. 104 al. 1 let. a et b CPP), ont qualité pour agir, ayant un intérêt juridiquement protégé à la modification ou à l'annulation des décisions querellées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recours formés par C______ et A______ seront traités au moyen d'une unique décision de la Chambre de céans dans la mesure où les parties et les faits se trouvent dans un rapport de connexité étroit.</w:t>
      </w:r>
    </w:p>
    <w:p>
      <w:r>
        <w:rPr>
          <w:b/>
        </w:rPr>
        <w:t>E. 4.1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w:t>
      </w:r>
    </w:p>
    <w:p>
      <w:r>
        <w:rPr>
          <w:b/>
        </w:rPr>
        <w:t>E. 4.2</w:t>
      </w:r>
    </w:p>
    <w:p>
      <w:r>
        <w:t>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2 ème éd., Bâle 2019, n. 8 ad art. 310). Des motifs de fait peuvent également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op.cit ., n. 9 ad art. 310).</w:t>
      </w:r>
    </w:p>
    <w:p>
      <w:r>
        <w:rPr>
          <w:b/>
        </w:rPr>
        <w:t>E. 4.3</w:t>
      </w:r>
    </w:p>
    <w:p>
      <w:r>
        <w:t>Une non-entrée en matière doit également être prononcée lorsqu'il peut être renoncé à toute poursuite ou à toute sanction en vertu de dispositions légales (art. 310 al. 1 let. c cum</w:t>
      </w:r>
    </w:p>
    <w:p>
      <w:r>
        <w:rPr>
          <w:b/>
        </w:rPr>
        <w:t>E. 8</w:t>
      </w:r>
    </w:p>
    <w:p>
      <w:r>
        <w:t>Justifiées, les décisions querellées seront donc confirmées.</w:t>
      </w:r>
    </w:p>
    <w:p>
      <w:r>
        <w:rPr>
          <w:b/>
        </w:rPr>
        <w:t>E. 9</w:t>
      </w:r>
    </w:p>
    <w:p>
      <w:r>
        <w:t>Les recourants, qui succombent, supporteront, chacun par moitié, les frais de la procédure de recours arrêtés à CHF 1'800.- (art. 428 al. 1 CPP et 13 al. 1 du Règlement fixant le tarif des frais en matière pénale, RTFMP ; E 4 10.03).</w:t>
      </w:r>
    </w:p>
    <w:p>
      <w:r>
        <w:rPr>
          <w:b/>
        </w:rPr>
        <w:t>E. 10</w:t>
      </w:r>
    </w:p>
    <w:p>
      <w:r>
        <w:t>Corrélativement, aucun dépens ne leur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