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P/24586/2018 vom 28. Mai 2021</w:t>
      </w:r>
    </w:p>
    <w:p>
      <w:r>
        <w:t>GE Cour de justice, 2021-05-28, FR</w:t>
      </w:r>
    </w:p>
    <w:p>
      <w:r>
        <w:rPr>
          <w:b/>
        </w:rPr>
        <w:t xml:space="preserve">Quelle: </w:t>
      </w:r>
      <w:r>
        <w:t>https://mcp.opencaselaw.ch/entscheid/ge_gerichte_P_24586_2018</w:t>
      </w:r>
    </w:p>
    <w:p>
      <w:r>
        <w:t>FR: GE_GERICHTE P/24586/2018 du 28 mai 2021</w:t>
      </w:r>
    </w:p>
    <w:p>
      <w:r>
        <w:t>IT: GE_GERICHTE P/24586/2018 del 28 maggio 2021</w:t>
      </w:r>
    </w:p>
    <w:p>
      <w:pPr>
        <w:pStyle w:val="Heading2"/>
      </w:pPr>
      <w:r>
        <w:t>Regeste</w:t>
      </w:r>
    </w:p>
    <w:p>
      <w:r>
        <w:t>CLASSEMENT;LÉSION CORPORELLE SIMPLE;ABUS D'AUTORITÉ | CPP.319; CP.123; CP.312</w:t>
      </w:r>
    </w:p>
    <w:p>
      <w:pPr>
        <w:pStyle w:val="Heading2"/>
      </w:pPr>
      <w:r>
        <w:t>Erwägungen</w:t>
      </w:r>
    </w:p>
    <w:p>
      <w:r>
        <w:rPr>
          <w:b/>
        </w:rPr>
        <w:t>E. 1</w:t>
      </w:r>
    </w:p>
    <w:p>
      <w:r>
        <w:t>Le recours pour déni de justice ou retard injustifié n'est soumis à aucun délai (art. 396 al. 2 CPP). Par ailleurs, le présent recours a été déposé selon la forme et dans le délai prescrits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 Partant, il est recevable.</w:t>
      </w:r>
    </w:p>
    <w:p>
      <w:r>
        <w:rPr>
          <w:b/>
        </w:rPr>
        <w:t>E. 2</w:t>
      </w:r>
    </w:p>
    <w:p>
      <w:r>
        <w:t>Le recourant invoque une violation du principe de célérité.</w:t>
      </w:r>
    </w:p>
    <w:p>
      <w:r>
        <w:rPr>
          <w:b/>
        </w:rPr>
        <w:t>E. 2.1</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L'art. 29 al. 1 Cst. consacre, en outre,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w:t>
      </w:r>
    </w:p>
    <w:p>
      <w:r>
        <w:rPr>
          <w:b/>
        </w:rPr>
        <w:t>E. 2.2</w:t>
      </w:r>
    </w:p>
    <w:p>
      <w:r>
        <w:t>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arrêt du Tribunal fédéral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130 IV 54 consid. 3.3.3).</w:t>
      </w:r>
    </w:p>
    <w:p>
      <w:r>
        <w:rPr>
          <w:b/>
        </w:rPr>
        <w:t>E. 2.3</w:t>
      </w:r>
    </w:p>
    <w:p>
      <w:r>
        <w:t>Pour pouvoir invoquer avec succès un retard injustifié à statuer, la partie doit être vainement intervenue auprès de l'autorité pénale pour que celle-ci statue à bref délai (arrêt du Tribunal fédéral 1B_24/2013 du 12 février 2013 consid. 4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 6B_1066/2013 du 27 février 2014 consid. 1.1.2).</w:t>
      </w:r>
    </w:p>
    <w:p>
      <w:r>
        <w:rPr>
          <w:b/>
        </w:rPr>
        <w:t>E. 2.4</w:t>
      </w:r>
    </w:p>
    <w:p>
      <w:r>
        <w:t>En l'espèce, le 18 décembre 2018, soit six jours après réception de la plainte, le Ministère public a transmis le dossier à l'IGS. Avant de pouvoir procéder aux différentes auditions, l'IGS a dû identifier les gardiens mis en cause et obtenir des pièces, telles que le rapport d'incident et les images de la vidéosurveillance, et en prendre connaissance. Le 18 septembre 2019, l'IGS a sollicité, du conseil du recourant, les coordonnées du précité, dans le but de procéder à son audition, dès lors qu'il avait été rapatrié en Tunisie, une réponse n'ayant été obtenue que le 15 novembre 2019. Ainsi, l'autorité n'est pas restée inactive durant la première période incriminée. Par la suite, entre le 10 décembre 2019 et le 17 février 2020, l'IGS a procédé aux auditions des neuf gardiens mentionnés dans le rapport d'incident. Le 2 mars 2020, l'IGS a rendu son rapport. Le 10 mars suivant, le Ministère public a, par avis de prochaine clôture, informé le recourant de son intention de classer la procédure. Le recourant a, par l'intermédiaire de son conseil et à deux reprises, sollicité le report du délai imparti pour présenter ses réquisitions de preuve, le portant ainsi au 22 mai 2020. Le 1 er octobre 2020, le Ministère public a octroyé l'assistance juridique au recourant. Le 24 mars 2021, le Ministère public a rappelé son intention de classer la procédure et invité le conseil précité à lui transmettre son état de frais d'ici au 29 mars suivant, ce qu'il a fait. Le recourant ne saurait, dès lors, reprocher au Ministère public d'avoir tardé à rendre sa décision, ce d'autant plus qu'il ne ressort pas du dossier qu'il ait interpellé le Procureur général pour s'enquérir de l'évolution de la cause et réclamé, en vain, qu'il se déterminât sur l'issue de celle-ci. Au vu de ce qui précède, prise dans sa globalité, l'instruction de la cause ne consacre pas de violation du principe de la célérité. Ce grief sera rejeté.</w:t>
      </w:r>
    </w:p>
    <w:p>
      <w:r>
        <w:rPr>
          <w:b/>
        </w:rPr>
        <w:t>E. 3</w:t>
      </w:r>
    </w:p>
    <w:p>
      <w:r>
        <w:t>Le recourant reproche au Ministère public d'avoir classé sa plainte du 10 décembre 2018, sans remettre en cause la qualification juridique retenue. Il y a dès lors lieu d'examiner le bien-fondé du recours à la lumière des art. 123 CP et 312 CP. 3.1.1. 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Ces conditions doivent être interprétées à la lumière de la maxime " in dubio pro duriore" ,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 3.1.2. Un classement n'est possible que lorsque l'impunité des actes du prévenu paraît claire ou lorsque les conditions à l'action pénale font manifestement défaut. Si un acquittement apparaît aussi probable qu’une condamnation, il s’impose, en principe, en particulier pour les infractions graves, de soutenir l’accusation. Font exception les cas où la partie plaignante tient des affirmations contradictoires ou peu crédibles. S'il appartient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de la maxime " in dubio pro duriore" , ce n'est que lorsque la situation probatoire n'est pas claire qu'il est interdit au ministère public d'anticiper l'administration des preuves que ferait le juge du fond (ATF 143 IV 241 consid. 2.2.1, 2.2.2 et 2.3 = JdT 2017 IV 357).</w:t>
      </w:r>
    </w:p>
    <w:p>
      <w:r>
        <w:rPr>
          <w:b/>
        </w:rPr>
        <w:t>E. 3.2</w:t>
      </w:r>
    </w:p>
    <w:p>
      <w:r>
        <w:t>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Le comportement de l'auteur de l'infraction doit être la cause naturelle et adéquate des lésions corporelles simples subies par la victime (B. CORBOZ, Les infractions en droit suisse , vol. I, 3 ème éd., Berne 2010, n. 16 ad art. 123 CP). L'infraction est intentionnelle, cette intention devant porter sur tous les éléments constitutifs de l'infraction, le dol éventuel étant toutefois suffisant (ATF 119 IV 1 consid. 5a; ATF 103 IV 65 consid. I.2).</w:t>
      </w:r>
    </w:p>
    <w:p>
      <w:r>
        <w:rPr>
          <w:b/>
        </w:rPr>
        <w:t>E. 3.3</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 7 mars 2016 consid. 2.6 ; 6B_831/2011 du 14 février 2012 consid. 1.4.2 ; 6S_885/2000 du 26 février 2002 consid. 4a/bb ; ATF 99 IV 13 ). 3.4.1.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3.4.2. À Genève, l'art. 7 al. 1 let. a de la loi sur l'organisation des établissements et le statut du personnel pénitentiaires (LOPP; RSG F 1 50) prévoit que le personnel pénitentiaire est chargé d'assurer les tâches de surveillance interne et externe, de maintien de l'ordre, de conduite et de sécurité intérieure au sein des établissements. Selon l'art. 27 du règlement sur l'organisation des établissements et le statut du personnel pénitentiaires (ROPP; RSG F 1 50.01), les membres du personnel pénitentiaire ne peuvent employer la force et les moyens de contrainte qu'en dernier recours, lorsque toute autre mesure visant à rétablir l'ordre et la sécurité, tel le dialogue ou la négociation, a échoué (al. 1); le recours à la force et aux moyens de contrainte doit être conforme au principe de proportionnalité (al. 2). L'art. 42 du règlement sur le régime intérieur de la prison et le statut des personnes incarcérées (RRIP; RSG F 1 50.04) précise que les détenus doivent notamment observer les ordres du personnel pénitentiaire. Il est en outre interdit aux détenus de faire du bruit et, d'une façon générale, de troubler l'ordre et la tranquillité de l'établissement (art. 45 let. a et h RRIP).</w:t>
      </w:r>
    </w:p>
    <w:p>
      <w:r>
        <w:rPr>
          <w:b/>
        </w:rPr>
        <w:t>E. 3.5</w:t>
      </w:r>
    </w:p>
    <w:p>
      <w:r>
        <w:t>En l'espèce, il est établi que dans la soirée du 8 septembre 2018, le recourant a demandé à pouvoir sortir de sa cellule, ce qui lui a été refusé. Puis, le précité a sollicité, à plusieurs reprises, l'intervention des gardiens, se mettant à crier. Les gardiens lui ont demandé de se calmer, mais en vain. Compte tenu de la situation et afin de garantir la tranquillité de l'établissement, sa mise en cellule forte a été ordonnée par le gardien principal. Le recourant ne coopérant pas, les agents de détention ont dû faire usage de la contrainte pour l'extraire de sa cellule, l'amener au sol et lui ouvrir la main droite, afin de vérifier qu'il n'y dissimulait pas d'objet dangereux. Une fois maîtrisé, A______ a été menotté, sur ordre de la hiérarchie. Le transport a eu lieu sous la contrainte, laquelle n'a toutefois pas été nécessaire pour la fouille en cellule forte. Le 10 septembre 2018, un constat de lésions traumatiques a été établi par les HUG, le recourant présentant diverses lésions. Or, aucun des gardiens interrogés n'a admis avoir asséné ou vu asséner de coups. Ces déclarations sont corroborées par les images extraites de la vidéosurveillance, dont l'on ne décèle aucun mouvement susceptible de confirmer les accusations du recourant. Ces images, qui ne mettent pas en évidence un usage excessif de la force de leur part, ne laissent, au contraire, planer aucun doute quant à l'absence de coopération du recourant et à l'opposition physique dont il a fait preuve durant l'intervention, en particulier lorsque les agents de détention cherchaient à le maitriser, une fois sorti de sa cellule. Les gardiens ont expliqué que le recourant avait refusé d'ouvrir sa main droite, alors qu'ils souhaitaient vérifier qu'aucun objet dangereux n'y était dissimulé. Il ressort des images de la vidéosurveillance qu'environ un minute trente a été nécessaire pour ce faire. L'usage de la force était donc proportionnel à la résistance qui leur était opposée et les lésions constatées à la main droite du recourant compatibles avec cet évènement. S'agissant des douleurs à la styloïde radiale de la main gauche, elles sont compatibles avec la clé de bras visant à le maintenir au sol, la main du gardien se situant au niveau de son poignet, pouce vers le haut. Enfin, l'on ne décèle pas, sur les images, une quelconque torsion des poignets ou des doigts du recourant. S'agissant des lésions constatées aux genoux, il ressort de la vidéosurveillance que, dans le couloir de sa cellule, le recourant a été maintenu au niveau des jambes, en particulier du genou droit, afin d'être maitrisé. La pression exercée pour ce faire, proportionnelle à la résistance opposée par le recourant, qui n'entendait pas coopérer à ce stade de l'intervention, est également propre à engendrer les lésions constatées, à savoir des douleurs. En tout état, ainsi que l'a relevé l'IGS, la localisation des blessures n'est pas compatible avec les déclarations du recourant, qui dit avoir reçu des coups " par derrière ", et aucun élément au dossier ne corrobore les accusations portées par celui-ci. En outre, le transfert du recourant s'est déroulé dans le calme, que ce soit avant le transport en ascenseur ou après celui-là. En effet, sur les images de vidéosurveillance, le recourant marche de son plein gré et les gardiens semblent détendus, se tenant à distance, à l'exception de ceux effectuant la clé d'épaule. Il apparait dès lors peu probable que le recourant aurait été placé violemment dans l'ascenseur et donc blessé à cette occasion – ce d'autant plus que le recourant ne s'est jamais plaint d'avoir heurté les parois de l'ascenseur avec le dos –. En tout état, l'hématome se situant au niveau du dos du recourant, plus particulièrement près de son omoplate gauche, est compatible avec la clé de bras visant à le maintenir au sol, le genou gauche du gardien y étant placé. La pression exercée à cet endroit, proportionnée à la résistance opposée à ce moment de l'intervention par le recourant, était propre à occasionner une telle lésion. Le recourant ne saurait voir une quelconque intention de nuire de la part des mis en cause du fait que le rapport d'incident n'ait fait état d'aucune lésion, dans la mesure où celui-ci a été rédigé immédiatement après les faits et que les douleurs et les lésions ne semblent être apparues que dans un second temps. Cet élément est d'ailleurs corroboré par les déclarations du recourant, qui dit lui-même n'avoir sollicité l'intervention d'un médecin que le lendemain et non immédiatement après les faits. Enfin, les rapports médicaux ne contiennent pas non plus d'élément permettant de considérer que les blessures constatées n'auraient pas pu survenir accidentellement. L'hypothèse selon laquelle les lésions seraient survenues dans des zones de la prison non couvertes par le champ des images de la vidéosurveillance n'est étayé par aucun élément du dossier. L'attitude des parties durant les transferts témoigne, au contraire, du fait que la situation semble s'être apaisée une fois le recourant menotté. Cet élément est également corroboré par le rapport d'incident et les déclarations des mis en cause. Enfin, bien que le recourant ait pu être choqué et stressé par l'intervention, il ne ressort pas du constat du 10 septembre 2018 que cet état serait exclusivement lié à un usage disproportionné et gratuit de la violence. Ce d'autant plus qu'à teneur du dossier, le recourant semble souffrir d'autres problèmes psychiques, pour lesquels il est d'ailleurs traité. Ainsi, il n'est pas établi que l'intervention soit à l'origine de cet état, ni qu'elle en soit la principale raison. Quant à un abus d'autorité, il ressort de ce qui a été dit ci-dessus qu'on cherche en vain un acte par lequel les gardiens présents auraient abusé des pouvoirs qui leurs étaient conférés, puisque, compte tenu de la situation, soit du trouble causé par le comportement du recourant, et devant sa non-coopération, les mis en cause ont été contraints d'employer la force, pour l'extraire de sa cellule, le maitriser et l'escorter en cellule forte. Ainsi, l'emploi de la contrainte était rendu nécessaire par l'attitude du recourant. Aucun élément du dossier ne permet d'ailleurs de penser qu'ils auraient violé le principe de proportionnalité, ni qu'ils auraient eu l'intention de nuire au recourant, car ils se sont conformés aux procédures internes applicables en la matière. Enfin, il n'est pas établi que le recourant aurait sollicité la visite d'un médecin le 9 septembre 2018, faute de rapport d'incident. Les gardiens ayant participé à l'intervention n'auraient, en tout état, pas pu refuser une telle requête, dès lors qu'ils ne travaillaient pas le lendemain de l'intervention en cause. Les actes d'enquête sollicités par le recourant n'apparaissent pas propres à renforcer l'existence de soupçons de la commission des infractions invoquées. En effet, une confrontation entre les protagonistes – indépendamment de la possibilité concrète d'y procéder – ne parait pas susceptible d'apporter d'élément probant supplémentaire car chacun persisterait vraisemblablement dans sa propre version. L'audition de l'infirmière n'apparait pas non plus utile, dès lors qu'elle n'a pas assisté aux faits litigieux et que les lésions constatées ressortent des rapports médicaux versés à la procédure. Il en va de même des notes du service médical, étant précisé que les premières déclarations du recourant ressortent déjà des documents précités. Enfin, une expertise médico-légale ne parait pas pouvoir déterminer plus précisément l'origine des lésions constatées, et encore moins le rôle de chaque gardien dans la survenance de celles-ci. En conséquence, l'établissement et l'appréciation des faits par le Ministère public, résultats d'une enquête complète et approfondie, ne souffre aucune critique. Il résulte de ce qui précède que les mis en cause n'ont commis aucun abus d'autorité et que les lésions corporelles ont été provoquées de manière non intentionnelle et dans le cadre de mesures licites et proportionnées. Les actes autorisés par la loi n'étant pas punissables (art. 14 CP), il n'existe ainsi pas de prévention pénale suffisante s'agissant des infractions de lésions corporelles – intentionnelles ou par négligence – , ni d'abus d'autorité.</w:t>
      </w:r>
    </w:p>
    <w:p>
      <w:r>
        <w:rPr>
          <w:b/>
        </w:rPr>
        <w:t>E. 4</w:t>
      </w:r>
    </w:p>
    <w:p>
      <w:r>
        <w:t>Justifiée, l'ordonnance querellée sera donc confirmée.</w:t>
      </w:r>
    </w:p>
    <w:p>
      <w:r>
        <w:rPr>
          <w:b/>
        </w:rPr>
        <w:t>E. 5</w:t>
      </w:r>
    </w:p>
    <w:p>
      <w:r>
        <w:t>Le recourant, qui succombe, supportera les frais envers l'État, fixés en totalité à CHF 500.-, pour tenir compte de sa situation financière (art. 428 al. 1 CPP et 13 al. 1 du Règlement fixant le tarif des frais en matière pénale, RTFMP ; E 4 10.03).</w:t>
      </w:r>
    </w:p>
    <w:p>
      <w:r>
        <w:rPr>
          <w:b/>
        </w:rPr>
        <w:t>E. 6</w:t>
      </w:r>
    </w:p>
    <w:p>
      <w:r>
        <w:t>La procédure étant ici close (art. 135 al. 2 CPP), des dépens seront alloués à l'avocat d'office.</w:t>
      </w:r>
    </w:p>
    <w:p>
      <w:r>
        <w:rPr>
          <w:b/>
        </w:rPr>
        <w:t>E. 6.1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200.- pour un chef d'étude (art. 16 al. 1 let. c RAJ). Seules les heures nécessaires sont retenues ; elles sont appréciées en fonction notamment de la nature, de l'importance, et des difficultés de la cause, de la valeur litigieuse, de la qualité du travail fourni et du résultat obtenu (art. 16 al. 2 RAJ).</w:t>
      </w:r>
    </w:p>
    <w:p>
      <w:r>
        <w:rPr>
          <w:b/>
        </w:rPr>
        <w:t>E. 6.2</w:t>
      </w:r>
    </w:p>
    <w:p>
      <w:r>
        <w:t>En l'occurrence, le conseil du recourant conclut au versement d'une indemnité de CHF 2'110.92, TVA incluse, correspondant à 490 minutes d'activité pour la procédure de recours, comprenant 25 minutes d'entretien téléphonique avec le client, 180 minutes d'étude de dossier, 240 minutes de rédaction du recours et 45 minutes d'étude de dossier et de rédaction de la réplique, au tarif de CHF 200.-, augmentés du forfait correspondances et téléphones (20%), de la TVA (7.7%) et de CHF 103.- de frais de copie. Tout d'abord, les frais de copie seront écartés, faute d'être documentés. En outre, l'indemnité sollicitée paraît exagérée au regard de l'ampleur de ses écritures (14 pages de recours dont 7 pour la page de garde, les conclusions, le rappel des faits et les motifs retenus par le Ministère public; ainsi que deux pages de répliques), les écritures comprenant d'ailleurs certains développements contenus dans ses observations du 22 mai 2020, pour lesquelles il a déjà été indemnisé. Elle sera ramenée à CHF 1'083.35, correspondant à cinq heures d'activité au tarif horaire de CHF 200.- (CHF 1'000.-), plus 25 minutes pour un entretien avec le recourant (CHF 83.35 arrondis) – étant précisé que le forfait de 20% courrier/téléphone ne se justifie pas en instance de recours ( ACPR/762/2018 du 14 décembre 2018 consid. 3.2) –, sans TVA vu le domicile à l'étranger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