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P/24576/2016 vom 31. Januar 2018</w:t>
      </w:r>
    </w:p>
    <w:p>
      <w:r>
        <w:t>GE Cour de justice, 2018-01-31, FR</w:t>
      </w:r>
    </w:p>
    <w:p>
      <w:r>
        <w:rPr>
          <w:b/>
        </w:rPr>
        <w:t xml:space="preserve">Quelle: </w:t>
      </w:r>
      <w:r>
        <w:t>https://mcp.opencaselaw.ch/entscheid/ge_gerichte_P_24576_2016</w:t>
      </w:r>
    </w:p>
    <w:p>
      <w:r>
        <w:t>FR: GE_GERICHTE P/24576/2016 du 31 janvier 2018</w:t>
      </w:r>
    </w:p>
    <w:p>
      <w:r>
        <w:t>IT: GE_GERICHTE P/24576/2016 del 31 gennaio 2018</w:t>
      </w:r>
    </w:p>
    <w:p>
      <w:pPr>
        <w:pStyle w:val="Heading2"/>
      </w:pPr>
      <w:r>
        <w:t>Regeste</w:t>
      </w:r>
    </w:p>
    <w:p>
      <w:r>
        <w:t>VOL(DROIT PÉNAL); DOMMAGES À LA PROPRIÉTÉ(DROIT PÉNAL); VIOLATION DE DOMICILE; EXPULSION(DROIT PÉNAL); EXPERTISE | CP.139.al3; CP.144; CP.20; CP.33; CP.66a; CPP.431.al3.letb</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Aux termes de l'art. 20 CP, le juge ordonne une expertise s'il existe une raison sérieuse de douter de la responsabilité de l'auteur.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ATF 116 IV 273 consid. 4a p. 274 ; 102 IV 74 consid. 1b p. 75 s.). Une capacité délictuelle diminuée ne doit cependant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4b p. 276).</w:t>
      </w:r>
    </w:p>
    <w:p>
      <w:r>
        <w:rPr>
          <w:b/>
        </w:rPr>
        <w:t>E. 2.2</w:t>
      </w:r>
    </w:p>
    <w:p>
      <w:r>
        <w:t>En l'occurrence, les considérations exprimées par la Dresse O______ au sujet de l'état psychique de l'appelant, se fondent en grande partie sur les indications fournies par ce dernier en relation avec un parcours de vie difficile et marqué par la violence. Elles ne permettent pas de conclure que la capacité de celui-ci d'apprécier le caractère illicite des vols commis ou de se déterminer d'après celle-ci aurait été diminuée, surtout que le médecin traitant n'est pas psychiatre. L'appelant a admis avoir agi pour obtenir de l'argent facilement, estimant que l'aide sociale qu'il percevait n'était pas suffisante. Cette explication le place sur le même plan que les autres délinquants qui commettent des infractions contre le patrimoine et ne trahit aucune désorganisation de la pensée ou autre insuffisance du développement mental. Les déclarations du témoin P______, selon lesquelles l'appelant peut se montrer un bon élève lorsqu'il travaille avec assiduité, comprend le cadre qui lui est fixé pour sa scolarisation et est intégré à l'école, corroborent cette appréciation et appuient l'existence de facultés cognitives et volitives dans la norme. Ses antécédents judiciaires ne justifient pas davantage de remettre en cause sa pleine responsabilité pénale, sauf à considérer que tout individu qui se comporterait de la sorte serait suspect de présenter une capacité délictuelle diminuée. Ils démontrent qu'au contraire, celle-ci n'a jamais prêté à discussion. Enfin, on peine à comprendre pour quelle raison l'appelant se réfère aux conditions qui prévalaient au sein des orphelinats roumains à l'époque de la dictature de Nicolae CEAUSESCU ( cf . pièces 9 et 10 de son chargé du 19 décembre 2017), alors qu'il est né en 1998 à teneur du dossier, soit bien après l'effondrement, à la fin des années '80, des régimes communistes en Europe de l'Est, celui de Nicolae CEAUSESCU étant tombé en décembre 1989. Aussi, avec le premier juge, la CPAR n'éprouve aucun doute sur la responsabilité pénale de l'appelant.</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3.2.1.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6B_419/2016 du 10 avril 2017 consid. 2.2 et les références ; 6B_645/2007 du 2 mai 2008 consid. 7.3.4.5 = SJ 2008 I 373). Ce concept de coactivité montre qu'une personne peut être considérée comme auteur d'une infraction, même si elle n'en est pas l'auteur direct, c'est-à-dire si elle n'a pas accompli elle-même tous les actes décrits dans la disposition pénale (ATF 120 IV 17 consid. 2d p. 23 s.). 3.2.2. Aux termes de l'art. 33 al. 1 CP, l'ayant droit peut retirer sa plainte tant que le jugement de deuxième instance cantonale n'a pas été prononcé. 3.3.1.1. A teneur de l'art. 139 ch. 1 CP, se rend coupable de vol celui qui, pour se procurer ou procurer à un tiers un enrichissement illégitime, aura soustrait une chose mobilière appartenant à autrui dans le but de se l'approprier. L'auteur sera puni d'une peine privative de liberté de cinq ans au plus ou d'une peine pécuniaire (art. 139 ch. 1 aCP; depuis le 1 er janvier 2018, la peine menace est une peine privative de liberté de six mois à cinq ans). 3.3.1.2. Conformément à l'art. 139 ch. 3 aCP, le vol est puni d'une peine privative de liberté de dix ans au plus ou d'une peine pécuniaire de 180 jours-amende au moins ( six mois à 10 ans dès le 1 er janvier 2018), si son auteur l'a commis en qualité d'affilié à une bande formée pour commettre des brigandages ou des vols.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et 3 p. 158 ss ; voir également arrêt du Tribunal fédéral 6B_1047/2008 du 20 mars 2009 consid. 4.1). Le nombre d'auteurs importe peu ; le seul élément décisif est la volonté expresse ou manifestée par des actes concluants de s'associer en vue de commettre plusieurs infractions indépendantes, même si elles ne sont pas encore déterminées, et le fait que cette association renforce physiquement et psychiquement chacun des membres, de sorte qu'elle les rend particulièrement dangereux et laisse prévoir la commission d'autres infractions de ce type (ATF 124 IV 286 consid. 2a p. 293 ss. ; ATF 124 IV 86 consid. 2b p. 88 ss.). Du point de vue subjectif, il suffit que l'auteur connaisse et veuille les circonstances de fait qui correspondent à la définition de la bande ou, en d'autres termes, que sa volonté ait porté sur la commission en commun d'une pluralité d'infractions (ATF 124 IV 286 consid. 2a p. 293 ss. ; ATF 124 IV 86 consid. 2b p. 89). Cette qualification suppose un minimum d'organisation (par exemple une répartition des tâches ou des rôles) et que la coopération des intéressés soit suffisamment intense pour que l'on puisse parler d'un groupe stable même s'il n'est qu'éphémère (ATF 132 IV 132 consid. 5.2 p. 137 ; arrêt du Tribunal fédéral 6B_1047/2008 du 23 mars 2009 consid. 4.1). Le seul fait que l'auteur fasse partie d'une bande n'est pas suffisant (J. HURTADO POZO, Droit pénal : partie spéciale , nouv. éd., Genève/ Zurich/Bâle 2009, n° 936 p. 281). Il doit résulter des actes préparatoires, de l'exécution elle-même ou du comportement postérieur à l'acte (s'il est du moins en rapport avec l'infraction commise) que l'auteur, en commettant le brigandage ou le vol, remplissait la tâche qui lui incombait au sein de la bande. Tel est visiblement le cas lorsque tous les affiliés à la bande concourent à l'exécution (ATF 83 IV 134 = JdT 1957 IV 99 ; voir également J. HURTADO POZO, op.cit ., n° 936 p. 281). 3.3.2. Selon l'art. 144 al. 1 CP, celui qui aura endommagé, détruit ou mis hors d'usage une chose appartenant à autrui ou frappée d'un droit d'usage ou d'usufruit au bénéfice d'autrui sera, sur plainte, puni d'une peine privative de liberté de trois ans au plus ou d'une peine pécuniaire. 3.3.3.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(art. 186 CP). 3.4.1. En l'espèce, l'appelant ne conteste pas avoir commis les cambriolages I______ et D______ avec G______, qui les a aussi admis, ces faits étant intervenus à un ou deux jours d'intervalle, dans la même partie du canton. L'implication des deux prévenus est d'ailleurs corroborée par l'enquête technique (ADN de G______ et traces de semelle, dont celles de l'appelant dans le cas I______). Les deux hommes ont en outre été interpellés ensemble, le lendemain du cambriolage I______, dans le même secteur, soit juste après le cambriolage de la villa E______. G______ a fini par admettre pleinement son implication dans ce troisième vol. L'appelant, qui n'a eu de cesse de varier dans ses explications, a concédé devant le premier juge qu'il était sur place, qu'il attendait son comparse et espérait pouvoir partager le butin. La boue sur les chaussures des deux hommes, les images de surveillance et l'équipement (gants et lampe de poche) en possession de G______ ne laissent pas de place au doute quant à l'implication des deux prévenus. Il importe peu à cet égard que l'appelant ne soit, cette fois-ci, pas entré dans la maison, comme il le soutient, et qu'il n'ait pas directement volé d'objets. En effet, il est constant que les deux hommes ont agi ensemble dans un but commun, chacun ayant besoin de l'autre pour mener à bien leur projet délictueux. Le fait qu'ils n'étaient que deux et encore ensemble 20 minutes après le vol, au moment de leur arrestation, plaide aussi en faveur de la coactivité, les deux comparses intervenant ensemble du début à la fin. 3.4.2. Au sujet de la circonstance aggravante du vol en bande, la CPAR retient que les deux prévenus se sont rendus ensemble, le soir, en plein hiver, dans des quartiers de villas à l'extérieur de la ville de Genève, dans lesquels ils n'avaient aucune raison de se rendre, si ce n'est la commission de cambriolages. Ces éléments ne plaident pas en faveur de vols commis à l'improviste, au gré des opportunités. Il s'agit au contraire d'indices forts en faveur d'actes programmés et organisés. Les deux comparses ont pénétré par effraction dans les villas et emporté des valeurs et objets faciles à transporter puis se sont répartis le butin, même si l'on ignore la clé de répartition. L'appelant a admis avoir brisé une vitre à une occasion (cas I______), avoir fouillé les habitations dans deux cas (I______ et D______) et s'être emparé de monnaies d'or, de stylos ou de devises. Les deux prévenus ont agi ainsi à trois reprises, chacun concourant à l'exécution des infractions en fonction de la situation, ce qui est constitutif de la bande. 3.4.3. L'appelant conteste l'ampleur du butin dénoncé par les victimes, faisant grand cas du fait que I______ n'aurait pas été en mesure d'attester la possession des deux sacs de marque signalés volés, alors qu'il lui aurait été aisé de réclamer une preuve de l'achat auprès du magasin [de la marque] M______ à Genève. A cet égard, il sera relevé que l'appelant n'a pas demandé à ce que les plaignants soient entendus dans la procédure ou invités à fournir des renseignements complémentaires à ce sujet, se bornant, par la voix de son conseil, à mettre en doute leur parole. De manière générale, la CPAR n'a pas de raisons de douter des inventaires établis par les victimes des cambriolages, l'absence d'attestations d'achat pouvant avoir de multiples raisons, les objets ayant notamment pu être hérités, reçus en cadeau ou encore achetés à l'étranger. Enfin, l'ampleur exacte du butin importe en définitive peu, dès lors que c'est le butin escompté qui est décisif. Or, l'auteur de cambriolages est généralement disposé à s'emparer de tout objet de valeur qu'il trouve - surtout les bijoux et les devises, facilement transportables lorsque le malfrat doit prendre la fuite à pied - et espère donc obtenir le butin le plus conséquent possible. 3.4.4. Au vu de ce qui précède, le jugement entrepris sera confirmé en tant qu'il a reconnu l'appelant coupable de vol en bande, ainsi que de dommages à la propriété et de violation de domicile pour le cas D______. En revanche, dans la mesure où les plaignants I______ et E______ ont retiré leur plainte pénale, les infractions de dommages à la propriété et de violation de domicile seront classées pour ces deux cas (art. 319 al. 1 let. d et 329 al. 1 let. c cum art. 405 al. 1 CPP) et le jugement entrepris modifié en conséquence.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4.1.2 .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4.1.3.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4.2.1. En l'espèce, la faute de l'appelant est importante. Il s'en est pris aux biens et à la sphère intime d'autrui, sans égard aux conséquences patrimoniales et psychologiques de ses actes pour ses victimes, et réalise la circonstance aggravante du vol en bande, qui est en l'occurrence l'infraction la plus grave, passible d'une peine privative de liberté pouvant aller jusqu'à 10 ans, ce plafond pouvant être étendu par le jeu du concours d'infractions (art. 49 al. 1 CP). Sa collaboration a été qualifiée de moyenne à bonne par le premier juge, ce qui apparait bienveillant dans la mesure où l'appelant n'a eu de cesse de varier dans ses explications et de minimiser sa participation ainsi que l'ampleur des butins. En affirmant qu'il aurait volé pour acheter des cadeaux à sa copine, vu ses modestes revenus issus de l'aide sociale, l'appelant semble vouloir justifier son comportement, alors qu'il bénéficie d'une admission provisoire, d'un soutien scolaire et de l'aide des pouvoirs publics. L'appelant n'a visiblement pas pris conscience de la gravité des faits et de l'impact d'un cambriolage sur ses victimes. Enfin, l'activité délictuelle n'a pris fin que grâce à l'interpellation des prévenus. A décharge, il sera retenu que l'appelant a eu une enfance difficile et qu'il fait des efforts à l'école. Eu égard à l'ensemble des considérations qui précèdent, en particulier de la gravité de la faute, qui reste le critère prépondérant en matière de fixation de la peine, une peine privative de liberté de douze mois est proportionnée et tient adéquatement compte des classements prononcés. C'est enfin à juste titre que le premier juge a déclaré cette peine complémentaire à celle infligée par le Ministère public vaudois le 15 mars 2017 (art. 49 al. 2 CP). 4.2.2. Compte tenu des antécédents récents et spécifiques et de l'absence de prise de conscience de la gravité des actes commis, l'appelant ne réunit pas les conditions du sursis complet, ce qu'il n'a du reste pas contesté. Le bénéfice du sursis partiel lui est en revanche acquis (art. 391 al. 2 CPP). La peine ayant été réduite à douze mois, il s'impose d'adapter la partie à exécuter à six mois (art. 43 al. 2 CP), le solde étant assorti du sursis partiel durant quatre ans, conformément au jugement entrepris, non contesté sur ce point. 4.2.3. Le fait que l'appelant ait exécuté sept mois de détention préventive n'ouvre pas le droit à indemnisation vu que la peine privative de liberté de douze mois prononcée, avec et sans sursis, dépasse la durée de la détention avant jugement subie (art. 431 al. 3 let. b CPP).</w:t>
      </w:r>
    </w:p>
    <w:p>
      <w:r>
        <w:rPr>
          <w:b/>
        </w:rPr>
        <w:t>E. 5</w:t>
      </w:r>
    </w:p>
    <w:p>
      <w:r>
        <w:t>5.1.1. Le juge expulse de Suisse l'étranger qui est condamné pour vol qualifié (art. 139 ch. 2 et 3 CP) ou vol (art. 139 CP) en lien avec une violation de domicile (art. 186 CP), quelle que soit la quotité de la peine prononcée à son encontre, pour une durée de cinq à quinze ans (art. 66a al. 1 let. c et d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5.1.2.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 OARP/12/2017 du 7 février 2017 consid. 2.4.4 ; arrêt du Tribunal fédéral 2C_695/2016 du 1er décembre 2016 consid. 5.2).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 4 novembre 1950 (CEDH - RS 0.101). 5.1.3.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(art. 66d let. a CP) ou lorsque d'autres règles impératives du droit international s'opposent à l'expulsion (art. 66d let. b CP). Selon l'art. 18 du règlement sur l'exécution des peines privatives de liberté et des mesures concernant les adultes et les jeunes adultes du 19 mars 2014 (REPPL; RS/GE E 4 55.05), c'est l'Office cantonal de la population et des migrations qui est compétent pour prendre les dispositions de mise en oeuvre de l'expulsion prononcée par le juge pénal (art. 66a à 66b CP) ainsi que pour se prononcer sur le report de l'exécution de cette mesure (art. 66d CP).</w:t>
      </w:r>
    </w:p>
    <w:p>
      <w:r>
        <w:rPr>
          <w:b/>
        </w:rPr>
        <w:t>E. 5.2</w:t>
      </w:r>
    </w:p>
    <w:p>
      <w:r>
        <w:t>L'appelant ayant été reconnu coupable de vols en bande, ainsi que d'un vol en lien avec une violation de domicile, commis après le 1 er octobre 2016, son expulsion est obligatoire (art. 66a al. 1 let. c et d CP). Aussi, une éventuelle renonciation ne peut intervenir qu'exceptionnellement, au cas où l'expulsion mettrait l'appelant dans une situation grave et où son intérêt à rester en Suisse serait supérieur à celui de la collectivité à le renvoyer dans son pays d'origine. L'hypothèse principalement visée est celle d'un étranger né en Suisse ou y ayant grandi. L'appelant est arrivé en Suisse en août 2014, soit il y a moins de quatre ans. Il parle essentiellement le roumain, nonobstant les cours de français qu'il a suivis, preuve en est qu'il a été assisté d'un interprète en langue roumaine tout au long de la procédure. Il n'est pas intégré, en particulier du fait de ses actes délictueux répétés depuis qu'il est mineur, et n'a aucune attache avec la Suisse. L'appelant allègue toutefois que son expulsion le placerait dans une situation extrêmement grave et qu'il n'a pas d'attaches avec son pays d'origine. A cet égard, la CPAR relève que l'appelant n'établit pas que sa vie et/ou son intégrité physique ou psychique seraient en danger dans l'un des pays de l'Europe de l'Est où l'on parle roumain. D'après la décision lui refusant l'asile, il a fourni des explications confuses sur ses origines et il aurait aussi menti, de sorte qu'il n'est pas possible de tenir sans autre pour vrai ses allégations. Il n'est donc pas avéré qu'un renvoi de l'appelant dans son pays d'origine, dans son ancien pays de résidence ou dans un pays tiers serait de nature à l'exposer à une situation personnelle grave. Surtout, son intérêt à rester en Suisse n'apparaît pas supérieur à celui de la collectivité à le renvoyer. Enfin, la question de la mise en oeuvre de l'expulsion et de son éventuel report échappe à la compétence du juge (art. 66d CP et 18 REPPL). Aussi, il appartiendra à l'autorité administrative d'examiner si et quand le renvoi pourra être exécuté. Au vu des éléments exposés ci-dessus, une expulsion pour cinq ans, durée minimale prévue par la loi, est adéquate et proportionnée, de sorte que la décision du premier juge sera confirmée.</w:t>
      </w:r>
    </w:p>
    <w:p>
      <w:r>
        <w:rPr>
          <w:b/>
        </w:rPr>
        <w:t>E. 6</w:t>
      </w:r>
    </w:p>
    <w:p>
      <w:r>
        <w:t>Compte tenu des classements intervenus et de la renonciation de F______ SA à obtenir réparation du préjudice qu'elle a subi en tant qu'assureur de E______, il convient d'annuler la condamnation de A______ à payer CHF 21'084.05 à l'assureur à titre de réparation du dommage matériel.</w:t>
      </w:r>
    </w:p>
    <w:p>
      <w:r>
        <w:rPr>
          <w:b/>
        </w:rPr>
        <w:t>E. 7.1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oeuvre de l'enquête pénale (ATF 138 IV 248 consid. 4.4.1 p. 254 ; arrêt du Tribunal fédéral 6B_136/2016 du 23 janvier 2017 consid. 4.1.1). Si sa condamnation n'est que partielle, les frais ne doivent être mis à sa charge que de manière proportionnelle, en considération des frais liés à l'instruction des infractions pour lesquelles un verdict de culpabilité a été prononcé (arrêts du Tribunal fédéral 6B_136/2016 précité consid. 4.1.1 ;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cf . art. 426 al. 2 CPP; arrêt 6B_136/2016 précité consid. 4.1.1 et les références citées). Il convient de répartir les frais en fonction des différents états de fait retenus, non selon les infractions visées ( 6B_136/2016 précité consid. 4.1.1 et les références citées). Comme il est difficile de déterminer avec exactitude les frais qui relèvent de chaque fait imputable ou non au condamné, une certaine marge d'appréciation doit être laissée au juge du fond (arrêt 6B_136/2016 précité consid. 4.1.1 et les références citées).</w:t>
      </w:r>
    </w:p>
    <w:p>
      <w:r>
        <w:rPr>
          <w:b/>
        </w:rPr>
        <w:t>E. 7.2</w:t>
      </w:r>
    </w:p>
    <w:p>
      <w:r>
        <w:t>L'appelant soutient que du fait de son acquittement partiel, soit pour l'un des quatre cambriolages retenus par le Ministère public, les frais de procédure auraient dû être partiellement laissés à la charge de l'Etat, alors qu'ils ont été mis intégralement à la charge des deux prévenus, à raison de moitié chacun (soit CHF 2'050.-). Or, initiée à la suite du cambriolage E______, la procédure a été étendue à trois autres cambriolages, dans le prolongement des résultats de l'enquête technique. L'appelant a été entendu sur ces trois nouvelles occurrences le 14 février 2017 par la police puis le 10 mars 2017 par le Ministère public, à la suite de quoi un avis de prochaine clôture a été prononcé. Il ne ressort pas du dossier que les faits liés au cas L______ auraient engendré des frais de procédure supplémentaires à ceux liés aux autres cambriolages. Aussi, pour la CPAR, l'acquittement partiel prononcé dans le complexe de faits du cas L______, étroitement lié aux trois autres cambriolages, est demeuré sans incidence sur la quotité des frais que l'appelant devait assumer. Partant, c'est à juste titre que le premier juge a mis l'intégralité des frais de procédure à la charge des deux prévenus. En appel, le verdict de culpabilité a été confirmé s'agissant de l'infraction de vol en bande, qui est l'infraction la plus grave, ainsi qu'en lien avec la participation de l'appelant aux trois cambriolages. La mise en oeuvre d'une expertise psychiatrique a été refusée et la mesure d'expulsion maintenue. Pour tenir compte des classements prononcés suite aux retraits de plainte, de la légère réduction de peine et de l'annulation de la condamnation à supporter le dommage matériel, un quart des frais de la procédure d'appel sera laissé à la charge de l'Etat, tandis que les trois quarts seront supportés par l'appelant (art. 428 CPP).</w:t>
      </w:r>
    </w:p>
    <w:p>
      <w:r>
        <w:rPr>
          <w:b/>
        </w:rPr>
        <w:t>E. 8</w:t>
      </w:r>
    </w:p>
    <w:p>
      <w:r>
        <w:t>Aux termes de l'art. 392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l'autorité de recours juge différemment les faits (let. a) et les considérants valent également pour les autres personnes impliquées (let. b). En l'occurrence, il n'est pas manifeste que les retraits de plaintes intervenus juste avant les débats d'appel et dont a bénéficié A______, du fait de son appel, doivent aussi profiter à G______, qui n'a pas fait appel et dont le jugement était par conséquent en force au moment où les plaignants ont retiré leur plainte. Il ne s'agit en effet pas, à tout le moins si l'on s'en tient à la lettre de l'art. 392 CPP, d'un cas où l'autorité de recours juge différemment les faits. Cela étant, le droit d'être entendu des parties, expressément prévu à l'art. 392 al. 2 CPP, commande que G______ puisse se déterminer sur l'éventuelle extension des classements à son égard. Dès lors, le présent arrêt lui sera communiqué, dès son entrée en force, et la procédure sera reprise, s'il s'y estime fondé.</w:t>
      </w:r>
    </w:p>
    <w:p>
      <w:r>
        <w:rPr>
          <w:b/>
        </w:rPr>
        <w:t>E. 9</w:t>
      </w:r>
    </w:p>
    <w:p>
      <w:r>
        <w:t>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9.2.1.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w:t>
      </w:r>
    </w:p>
    <w:p>
      <w:r>
        <w:rPr>
          <w:b/>
        </w:rPr>
        <w:t>E. 9.3</w:t>
      </w:r>
    </w:p>
    <w:p>
      <w:r>
        <w:t>En l'occurrence, l'état de frais du défenseur d'office de l'appelant est globalement adéquat et conforme aux principes qui précèdent, sauf s'agissant de 30 minutes consacrées au poste " examen du jugement et déclaration d'appel ", cette dernière démarche étant comprise dans le forfait pour l'activité diverse. L'indemnité sera ainsi arrêtée à CHF 2'653.20, correspondant à 11 heures et</w:t>
      </w:r>
    </w:p>
    <w:p>
      <w:r>
        <w:rPr>
          <w:b/>
        </w:rPr>
        <w:t>E. 10</w:t>
      </w:r>
    </w:p>
    <w:p>
      <w:r>
        <w:t>minutes d'activité de chef d'étude au tarif de CHF 200.-/heure (CHF 2'233.35), plus la majoration forfaitaire de 10% (CHF 223.35), compte tenu de l'activité indemnisée en première instance, et l'équivalent de la TVA au taux de 8% en CHF 196.50.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