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P/24521/2022 vom 16. Oktober 2025</w:t>
      </w:r>
    </w:p>
    <w:p>
      <w:r>
        <w:t>GE Cour de justice, 2025-10-16, FR</w:t>
      </w:r>
    </w:p>
    <w:p>
      <w:r>
        <w:rPr>
          <w:b/>
        </w:rPr>
        <w:t xml:space="preserve">Quelle: </w:t>
      </w:r>
      <w:r>
        <w:t>https://mcp.opencaselaw.ch/entscheid/ge_gerichte_P_24521_2022</w:t>
      </w:r>
    </w:p>
    <w:p>
      <w:r>
        <w:t>FR: GE_GERICHTE P/24521/2022 du 16 octobre 2025</w:t>
      </w:r>
    </w:p>
    <w:p>
      <w:r>
        <w:t>IT: GE_GERICHTE P/24521/2022 del 16 ottobre 2025</w:t>
      </w:r>
    </w:p>
    <w:p>
      <w:pPr>
        <w:pStyle w:val="Heading2"/>
      </w:pPr>
      <w:r>
        <w:t>Regeste</w:t>
      </w:r>
    </w:p>
    <w:p>
      <w:r>
        <w:t>CONTRAINTE SEXUELLE;ACTE D'ORDRE SEXUEL AVEC UN ENFANT;FIXATION DE LA PEINE;TORT MORAL;DOMMAGE MATÉRIEL;EXPULSION(DROIT PÉNAL);INDEMNITÉ(EN GÉNÉRAL) | aCP.189; CP.187; CP.47; CP.41; CP.42; CP.43; CPP.122.al1; CO.41; CO.47; CO.49; CP.66a; CP.67.al3.letb; CPP.433</w:t>
      </w:r>
    </w:p>
    <w:p>
      <w:pPr>
        <w:pStyle w:val="Heading2"/>
      </w:pPr>
      <w:r>
        <w:t>Erwägungen</w:t>
      </w:r>
    </w:p>
    <w:p>
      <w:r>
        <w:rPr>
          <w:b/>
        </w:rPr>
        <w:t>E. 1.1</w:t>
      </w:r>
    </w:p>
    <w:p>
      <w:r>
        <w:t>L'appel et l'appel joint sont recevables pour avoir été interjetés et motivés selon la forme et dans les délais prescrits (art. 398, 399, 400 al. 3 let. b et 401 du Code de procédure pénale [CPP]), étant relevé que, contrairement à ce que l'intimé a soutenu dans le cadre de sa demande de non-entrée en matière rejetée lors des débats d'appel, une déclaration d'appel n'a pas à être motivée.</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CEDH et, sur le plan interne, par les art. 32 al. 1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Les déclarations de la victime alléguée constituent un élément de preuve que le juge doit prendre en compte dans l'évaluation globale de l'ensemble des éléments probatoires rassemblés au dossier ; les situations de " déclarations contre déclarations ",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(arrêts du Tribunal fédéral 6B_1232/2023 du 18 septembre 2024 consid. 3.1.1 ; 6B_575/2024 du 9 septembre 2024 consid. 1.1.2 ; 6B_358/2024 du 12 août 2024 consid. 1.1.3 ; 6B_1210/2023 du 24 avril 2024 consid. 1.1). 2.2.1. Depuis le 1 er juillet 2024, l'existence d'une contrainte n'est plus un élément constitutif de l'infraction de contrainte sexuelle (art. 189 CP), mais uniquement de leur formes qualifiées (cf. art. 189 al. 2 CP), si bien qu'il n'existe pas de situation où le nouveau droit est plus favorable à un accusé que l'ancien. Partant, ces dispositions restent donc applicables, dans leur teneur au 30 juin 2024, aux comportements réalisés jusqu'à cette date. 2.2.2. Aux termes de l'art. 189 al. 1 aCP, quiconque, notamment en usant de menace ou de violence envers une personne, en exerçant sur elle des pressions d'ordre psychique ou en la mettant hors d'état de résister, l'a contrainte à subir un acte d'ordre sexuel, se rend coupable de contrainte sexuelle. 2.2.3. En introduisant la notion de " pressions psychiques ", le législateur a voulu viser les cas où la victime se trouve dans une situation sans espoir, sans pour autant que l'auteur ait recouru à la force physique ou à la violence (ATF 131 IV 107 consid. 2.2 ; ATF 128 IV 106 consid. 3a/bb ; ATF 122 IV 97 consid. 2b). Les pressions d'ordre psychique visent les cas où l'auteur provoque chez la victime des effets d'ordre psychique, tels que la surprise, la frayeur ou le sentiment d'une situation sans espoir, propres à la faire céder (ATF 128 IV 106 consid. 3a/bb ; ATF 122 IV 97 consid. 2b).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 ATF 128 IV 97 consid. 2b/aa et cc ; arrêt du Tribunal fédéral 6B_583/2017 du 20 décembre 2017 consid. 3.1). Une situation d'infériorité physique ou cognitive ou de dépendance sociale et émotionnelle peut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La jurisprudence parle de "violence structurelle",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S'il n'est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2.2.4. Sur le plan subjectif, la contrainte sexuelle constitue une infraction intentionnelle ; l'auteur doit savoir que la victime n'est pas consentante ou en accepter l'éventualité. L'élément subjectif est réalisé lorsque la victime donne des signes de son opposition, reconnaissables pour l'auteur, tels que des demandes d'être laissée tranquille, le fait de se débattre ou d'essayer de fuir (ATF 148 IV 234 consid. 3.4 ; arrêts du Tribunal fédéral 6B_924/2022 du 13 juillet 2023 consid. 2.2.2 ; 6B_808/2022 du 8 mai 2023 consid. 3.2 et 6B_803/2021 du 22 mars 2023 consid. 7.1.1). 2.3.1. L'appelante, qui ne remet plus en question sa culpabilité du chef d'acte d'ordre sexuel avec des enfants, soutient en revanche que la relation sexuelle ayant impliqué une ou plusieurs masturbations, une fellation ainsi qu'une pénétration vaginale pénienne était consentie, voire initiée par l'intimé. Elle soutient également que la nature de leur relation ne permet pas de retenir l'existence de pressions psychiques, de sorte que, pour ces deux motifs, la condition de la contrainte de l'art. 189 al. 1 aCP ne serait pas remplie. L'intimé persiste, comme il l'a fait durant toute la procédure, à affirmer qu'il ne souhaitait pas entretenir une quelconque relation sexuelle avec la compagne de son père. Face à des récits contradictoires, il convient d'examiner la crédibilité des déclarations de chacun. Or, il peut d'emblée être relevé que, contrairement à l'intimé, l'appelante a drastiquement varié dans ses déclarations puisqu'elle a, durant toute la procédure, nié les faits reprochés en expliquant qu'elle ne se souvenait pas d'une partie de sa soirée en raison de sa consommation d'alcool, pour finir, lors des débats d'appel, par admettre avoir entretenu une relation sexuelle avec le fils de son compagnon. Ce revirement, survenu après un peu plus de deux ans de dénégations, met déjà à mal sa crédibilité tant il témoigne de la capacité de l'appelante à s'affranchir de la vérité sans égard pour les conséquences de ses propos sur l'intimé. L'effet de la honte sur son attitude en procédure, explication qui peut certes être entendue et envisagée dans une certaine mesure compte tenu des circonstances, ne change rien au constat qui précède. S'ajoute à ce qui précède qu'il apparaît très peu crédible que l'intimé ait souhaité entretenir une relation sexuelle avec l'appelante comme elle le soutient. Ils n'entretenaient pas de rapports particuliers, n'étaient pas proches et, a fortiori n'avaient jamais adopté d'attitude de " flirt ". L'intimé était alors âgé de 15 ans et n'avait jamais eu de relation sexuelle, de sorte que, comme il l'a toujours affirmé, l'on voit mal pourquoi il aurait souhaité que la compagne de son propre père, une adulte de 38 ans ayant par ailleurs été directement liée au divorce de ses parents, partage cette " première fois " avec lui. De son côté, l'intimé a fourni de nombreux détails spécifiques sur le déroulé de la soirée – la coupure, la sensation de l'huile d'olive sur son visage, les bougies odorantes, le peignoir que portait l'appelante, etc. Il a d'emblée mentionné la première érection qu'il avait eue dans la salle de bain, alors même que cet élément pourrait éventuellement aller dans le sens de la version de l'appelante, ce qui renforce la crédibilité de la victime. S'agissant des actes reprochés en eux-mêmes, il a toujours expliqué de manière précise comment l'appelante avait initié la première masturbation, après lui avoir demandé si cela reviendrait à le faire échouer à son " no nut November challenge " si quelqu'un d'autre que lui-même le masturbait. Il s'agit là d'éléments particulièrement spécifiques que l'on imagine mal avoir été inventés. Au même titre que la première érection, l'intimé a en outre tout de suite reconnu avoir accepté que l'appelante lui prodigue cette masturbation à ce moment-là, mais également qu'il ne s'était pas opposé aux agissements de sa belle-mère avant la pénétration. Ces déclarations achèvent de convaincre que le récit de l'intimé est plus crédible que la nouvelle version de l'appelante, étant pour le surplus souligné que le jeune homme n'avait aucun intérêt à accuser faussement la compagne de son père compte tenu des répercussions familiales que cela allait entrainer. La théorie d'une éventuelle vengeance, qui n'est étayée par aucun élément du dossier et que l'appelante ne soulève même pas de manière claire, ne tient pas non plus. L'intimé a révélé les faits à sa famille dès leur lendemain, et cela en dépit de la difficulté de la situation. Ses proches, qui le connaissent bien, ont pu témoigner de l'état émotionnel dans lequel il se trouvait, son père ayant même senti que quelque chose n'allait pas avant d'apprendre ce qu'il s'était passé. L'impact durable sur sa santé mentale et, indirectement, sur son parcours scolaire, sont autant d'éléments supplémentaires allant dans le sens de la crédibilité de l'intimé en sus de tout ce qui précède. 2.3.2. La version des faits de l'intimé sera ainsi tenue pour plus crédible et il sera considéré pour établi qu'à l'évocation du " no nut November " consistant à ne pas se masturber durant un mois, l'appelante a demandé à l'intimé si cela comptait si elle le faisait, ce à quoi ce dernier a répondu que non. L'appelante lui a alors demandé si elle pouvait le faire, ce que l'intimé a accepté. Elle a retiré la couette, baissé le jogging de l'intimé et l'a masturbé tout en l'embrassant avec la langue, cela jusqu'à éjaculation. Elle a ensuite pris son pénis et s'est assise dessus à une reprise en l'introduisant dans son vagin. Après cela, l'intimé a dit à l'appelante qu'il avait peur et lui a demandé d'arrêter à deux reprises avant qu'elle ne sorte de la chambre. Si l'intimé n'est pas parvenu à situer de manière précise le moment de la fellation, qu'il a toutefois placée lors de cette " première phase ", l'appelante admet quoi qu'il en soit s'être livrée à un tel acte. Le recoupement de leurs déclarations permet de retenir que cet acte d'ordre sexuel s'est déroulé entre la première masturbation et le moment où l'appelante est sortie une première fois de la chambre. Rien ne permet de considérer que l'intimé aurait manifesté un quelconque refus de cette pratique, tout en étant également relevé que l'appelante a elle-même reconnu en avoir été l'initiatrice. La Cour considère également que les déclarations de l'intimé lors de ses premières auditions permettent de retenir que l'appelante est revenue dans sa chambre et qu'elle l'a masturbé une seconde fois, toujours en l'embrassant et en mettant sa main au niveau de son cou, ce qui constitue par ailleurs un détail périphérique à propos duquel le plaignant s'est montré mesuré et crédible en précisant que sa belle-mère n'avait pas exercé de pression. L'intimé a également fourni d'autres éléments qui viennent renforcer sa crédibilité comme par exemple la phrase prononcée par l'appelante à son retour dans la chambre (" je ferai de toi un homme "). Le fait qu'il ne se souvenait plus, au stade de l'audience de première instance s'étant tenue plus de deux ans après les faits, si l'appelante l'avait masturbé à nouveau ne vient pas amoindrir la crédibilité de son premier récit, récolté très peu de temps après les faits. Les explications de l'appelante selon lesquelles les faits reprochés se seraient déroulés en une seule " phase ", que la relation sexuelle se serait arrêtée d'un commun accord car ils étaient tous deux fatigués, qu'elle aurait quitté la chambre pour cette raison et qu'elle ne serait pas revenue une seconde fois se heurtent par ailleurs à la teneur de ses messages WhatsApp, qui laissent plutôt entrevoir une volonté de rejoindre l'intimé pour prolonger la relation. 2.3.3. S'il ne fait évidemment aucun doute que les actes reprochés constituent des actes d'ordre sexuel, la question de la contrainte doit encore être examinée. Il ne ressort en effet pas des faits tenus pour établis que l'appelante aurait exercé une contrainte d'ordre physique sur l'intimé. Ce dernier a lui-même expliqué qu'il l'a autorisée à le masturber dans un premier temps, puis qu'il ne s'est pas opposé à ce qui a suivi, sauf quand il a manifesté son effroi et sa volonté de la voir cesser ses agissements, après la pénétration reprochée. L'intimé n'a jamais indiqué qu'il se serait senti physiquement contraint de par sa position – allongé sur le lit tandis que l'appelante était au-dessus de lui – ou du fait que cette dernière lui avait mis la main sur le cou – au contraire il a indiqué qu'elle n'avait pas exercé de pression. S'agissant d'éventuelles pressions psychiques, l'intimé a lui-même expliqué, de manière constante, qu'il n'entretenait pas de relation particulièrement étroite avec l'appelante. Il ne s'agissait pour lui, que de la " copine " de son père avec laquelle il se montrait cordial. Le fait que l'appelante soit plus âgée et qu'elle fasse partie du cercle familial de l'intimé ne suffit pas à considérer qu'ils étaient liés par un lien de confiance ou qu'il existait entre eux un rapport tel que l'on puisse tenir pour établi l'existence d'un ascendant psychologique. Il ne s'agit ainsi pas, dans le cas présent, d'une situation présentant une intensité suffisante pour être assimilable aux cas de dépendance sociale et émotionnelle visés par la jurisprudence. 2.3.4. Il ressort en réalité des déclarations de l’intimé que sa passivité n'était pas tant due à un potentiel lien de dépendance avec l'appelante, mais bien plutôt à la stupéfaction dans laquelle il s'est retrouvé plongé dès le moment où cette dernière lui a proposé de le masturber. Il l'a expliqué et a mentionné à plusieurs reprises le tourbillon de pensées qui l'a assailli : il ne comprenait pas ce qu'il se passait et ne savait pas comment réagir face aux actes de la compagne de son père, auxquels il ne s'attendait aucunement. L'état dans lequel il s'est retrouvé plongé s'apparente ainsi à un état de sidération susceptible de fonder une forme de contrainte, même sous l'ancien droit, à teneur de la jurisprudence du Tribunal fédéral (cf. notamment : arrêt 6B_59/2021 du 12 novembre 2021 consid. 2.3 et 2.4). Toutefois, force est de constater que le contenu de l'acte de l'accusation, qui ne décrit aucunement l'état de sidération, soit un élément essentiel de l'infraction reprochée à l'appelante, ne permet pas de retenir un élément de contrainte sur cette base au risque de violer la maxime d'accusation (art. 9 et 325 CPP).</w:t>
      </w:r>
    </w:p>
    <w:p>
      <w:r>
        <w:rPr>
          <w:b/>
        </w:rPr>
        <w:t>E. 2.4</w:t>
      </w:r>
    </w:p>
    <w:p>
      <w:r>
        <w:t>En l'absence de réalisation de la condition de la contrainte, il n'est pas nécessaire d'examiner plus avant l'élément subjectif.</w:t>
      </w:r>
    </w:p>
    <w:p>
      <w:r>
        <w:rPr>
          <w:b/>
        </w:rPr>
        <w:t>E. 2.5</w:t>
      </w:r>
    </w:p>
    <w:p>
      <w:r>
        <w:t>Compte tenu de ce qui précède, l'appelante sera acquittée du chef de contrainte sexuelle et son appel admis sur ce point.</w:t>
      </w:r>
    </w:p>
    <w:p>
      <w:r>
        <w:rPr>
          <w:b/>
        </w:rPr>
        <w:t>E. 3</w:t>
      </w:r>
    </w:p>
    <w:p>
      <w:r>
        <w:t>3.1. L'infraction d'acte d'ordre sexuel avec des enfants (art. 187 ch. 1 CP) est sanctionné par une peine privative de liberté de cinq ans au plus ou 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 3.2.3.1. Aux termes de l'art. 42 al. 1 CP, le juge suspend en règle générale l’exécution d'une peine pécuniaire ou d'une peine privative de liberté de deux ans au plus lorsqu'une peine ferme ne paraît pas nécessaire pour détourner l'auteur d'autres crimes ou délits. 3.2.3.2.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1 ère phr.). 3.2.3.3. Lorsque la peine privative de liberté est d'une durée telle qu'elle permet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consid. 2b).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(ATF 134 IV 1 consid. 5.5.2). Un pronostic défavorable, en revanche, exclut tant le sursis partiel que le sursis total (ATF 134 IV 1 consid. 5.3.1).</w:t>
      </w:r>
    </w:p>
    <w:p>
      <w:r>
        <w:rPr>
          <w:b/>
        </w:rPr>
        <w:t>E. 3.3</w:t>
      </w:r>
    </w:p>
    <w:p>
      <w:r>
        <w:t>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3.4.1. En dépit de son acquittement du chef de contrainte sexuelle, la faute de l'appelante demeure importante. Les actes auxquels elle s'est livrée sur le plaignant, soit deux masturbations, une fellation et une pénétration vaginale, sont graves. Elle a entravé le bon développement psychique et sexuel d’un jeune homme, alors qu'il n'était encore qu'un adolescent sans aucune expérience sexuelle. S'il peut certes être retenu en faveur de l'appelante qu'il était proche de la majorité sexuelle, il n'en demeure pas moins qu'elle savait qu'il était mineur et qu'elle a malgré tout agi dans le seul but d'assouvir ses propres pulsions sexuelles, n'hésitant pas à revenir une seconde fois dans sa chambre. Après ses agissements, elle n'a eu de cesse de nier sa culpabilité durant plus de deux ans. S'ajoute à cela qu'elle a supprimé les messages WhatsApp incriminants de son téléphone, de sorte que sa collaboration ne peut qu'être qualifiée de mauvaise. En sus d'alourdir la procédure, ce comportement n'a pu que contribuer à une forme de victimisation secondaire de l'intimé, qui a dû supporter ses dénégations, mais également l'allongement de la procédure qui en a découlé. L'appelante a finalement reconnu les actes d'ordre sexuel reprochés au stade de l'audience d'appel, en minimisant toutefois grandement sa responsabilité dès lors qu'elle a soutenu qu'ils étaient consentis. Elle affirme effectuer un travail psychothérapique sur elle-même et s'est finalement excusée auprès de l'intimé mais persiste, encore en appel, à se placer en victime en évoquant toutes les conséquences que la présente procédure a pu avoir sur elle. Ces éléments nuancent sa prise de conscience, qui ne peut en réalité qu'être qualifiée d'ébauchée. Sa situation, de même que le fait qu'elle ait pu être désinhibée par l'alcool, n'explique ni ne justifie ses actes. L'absence d'antécédents a un effet neutre sur la fixation de la peine. 3.4.2. La gravité de l'infraction commise et l'importance du bien juridique protégé, mais également l'attitude de l'appelante durant la procédure et la minimisation de sa responsabilité encore en appel conduisent à considérer que le prononcé d'une peine privative de liberté se justifie en l'espèce dans une optique de prévention spéciale. 3.4.3. Une quotité de 18 mois est adéquate pour venir sanctionner l'infraction d'acte d'ordre sexuel avec des enfants. 3.4.4. Une peine ferme n'apparaît en revanche pas nécessaire pour détourner l'appelante, primo délinquante qui semble passablement marquée par la procédure, de commettre de nouvelles infractions. Sous l'angle de la prévention spéciale, le sursis complet assorti d'un délai d'épreuve de trois dans est, pour les mêmes motifs, plus approprié. 3.4.5. Compte tenu de tout ce qui précède, l'appelante sera condamnée à une peine privative de liberté de 18 mois assortie du sursis complet. Son appel, dans le cadre duquel elle concluait à une peine compatible avec le sursis, sera partant admis sur ce point et l'appel joint du MP rejeté.</w:t>
      </w:r>
    </w:p>
    <w:p>
      <w:r>
        <w:rPr>
          <w:b/>
        </w:rPr>
        <w:t>E. 3.5</w:t>
      </w:r>
    </w:p>
    <w:p>
      <w:r>
        <w:t>Les cinq jours de détention préventive déjà subis par l'appelante seront déduits de sa peine. Les mesures de substitution prononcées à son égard jusqu'au jugement de première instance ont en l'espèce légèrement limité sa liberté personnelle en comparaison à la détention, de sorte qu'il conviendra de les déduire dans une proportion de 10% (80 jours), en lieu et place des 160 jours soustraits par le premier juge et cela sans préjudice du principe d'interdiction de la reformatio in pejus vu l'appel joint du MP.</w:t>
      </w:r>
    </w:p>
    <w:p>
      <w:r>
        <w:rPr>
          <w:b/>
        </w:rPr>
        <w:t>E. 4</w:t>
      </w:r>
    </w:p>
    <w:p>
      <w:r>
        <w:t>4.1.1. En qualité de partie plaignante, le lésé peut faire valoir des conclusions civiles déduites de l'infraction par adhésion à la procédure pénale (art. 122 al. 1 CPP), en particulier en réparation de son tort moral (art. 47 du Code des obligations [CO]) ou de son dommage matériel (art. 41 CO). La preuve du dommage incombe au demandeur (art. 42 al. 1 CO). Le juge détermine le mode ainsi que l'étendue de la réparation d'après les circonstances et la gravité de la faute (art. 43 al. 1 CO). 4.1.2.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4.1.3.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Le guide relatif à la fixation du montant de la réparation morale selon la loi sur l'aide aux victimes (LAVI) établi le 3 octobre 2019 par l'Office fédéral de la justice (OFJ ; disponible sur : https://www.newsd.admin.ch/newsd/message/attachments/76987.pdf) propose : -        jusqu'à CHF 8'000.- pour les atteintes graves (tentative de viol, tentative de contrainte sexuelle, harcèlement sexuel à la fréquence ou à l'intensité particulières, acte sexuel avec un enfant) ; -        entre CHF 8'000.- à CHF 20'000.- pour les atteintes très graves (viol, contrainte sexuelle grave, actes d'ordre sexuel graves commis sur une personne incapable de discernement ou de résistance, acte sexuel grave ou répété avec un enfant) ; -        entre CHF 20'000.- à CHF 70'000.- pour les atteintes à la gravité exceptionnelle (agressions répétées et particulièrement cruelles, actes sexuels à la fréquence ou à l'intensité particulière avec un enfant sur une longue période). 4.2.1. Le montant de CHF 20'000.- alloué à l'intimé en première instance est proportionné compte tenu de la gravité des actes commis par l'appelante et de leur impact sur le psychisme et le développement du jeune homme, qui se trouvait dans une période de vie synonyme de nombreux changements et évolutions, en particulier au niveau sexuel. Il ne fait aucun doute qu'un tel événement ne peut, en tout état, que marquer de manière durable un adolescent et avoir des répercussions notamment sur sa vie affective future. Les séquelles physiques et psychologiques à court et moyen terme liées à cet événement ont d'ailleurs été relatées de manière concordante tant par l'intimé lui-même que par les membres de sa famille. D'un point de vue concret, cela a également perturbé sa scolarité alors même qu'il débutait tout juste son cursus de collégien, le laissant avec des lacunes à combler. Partant, la condamnation de l'appelante à devoir s'acquitter, auprès de l'intimé, d'une indemnité de CHF 20'000.- sera confirmée. L'intimé ne peut amplifier ses conclusions en tort moral sans avoir interjeté appel ou appel joint sur ce point, de sorte que l'augmentation de CHF 10'000.- plaidée par son conseil lors des débats d'appel est irrecevable. 4.2.2. Le décompte dont l'intimé se prévaut pour conclure à l'indemnisation de son dommage matériel à hauteur de CHF 448.45 ne se recoupe en l'espèce pas avec les attestations [de l’assurance maladie] K______ versées au dossier. Il n'explique aucunement comment il est parvenu aux sommes réclamées (CHF 390.20 pour des séances de psychothérapies et des rendez-vous médicaux non remboursés et CHF 58.25 pour des médicaments non remboursés) et ne produit pas de pièces justificatives tels que des certificats médicaux ou des tickets de caisse. Dans ces circonstances, il est impossible d'identifier quelles prestations médicales ont été effectuées en lien avec l'infraction commise par l'appelante parmi les postes figurant dans les documents de l'assurance. Il en découle que les conclusions en indemnisation du dommage matériel de l'intimé, qui sera renvoyé à agir au civil, seront rejetées et l'appel de A______ admis sur ce point.</w:t>
      </w:r>
    </w:p>
    <w:p>
      <w:r>
        <w:rPr>
          <w:b/>
        </w:rPr>
        <w:t>E. 5</w:t>
      </w:r>
    </w:p>
    <w:p>
      <w:r>
        <w:t>5.1.1. Aux termes de l'art. 66a al. 1 let. h CP, le juge expulse de Suisse, pour une durée de cinq à quinze ans, l'étranger qui est condamné, notamment, pour actes d'ordre sexuel avec des enfants (art. 187 CP), quelle que soit la quotité de la peine prononcée à son encontre. 5.1.2. S'agissant des citoyens européens, l'art. 5 § 1 de l'Annexe I à l'accord du 21 juin 1999 entre la Confédération suisse, d'une part, et la Communauté européenne et ses États membres, d'autre part, sur la libre circulation des personnes (ALCP) s'oppose à une expulsion de Suisse à titre de mesure de prévention abstraite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2C_499/2023 du 24 janvier 2024 consid. 4.2 ; 6B_854/2023 du 20 novembre 2023 consid. 3.1.6 ; 6B_149/2023 du 1er novembre 2023 consid. 1.3.4). Pour examiner la dangerosité d'une personne, l'importance de sa culpabilité joue notamment un rôle important (ATF 145 IV 364 consid. 3.5.2 ; arrêts du Tribunal fédéral 2C_148/2022 du 17 novembre 2022 consid. 4.2.1 ; 2C_944/2020 du 31 mars 2021 consid. 4.2.2 ; 6B_177/2020 du 2 juillet 2020 consid. 2.4.5). 5.1.3.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de la loi fédérale sur les étrangers et l'intégration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6B_922/2023 du 19 mars 2024 consid. 1.6.3 ; 6B_1030/2023 du 15 novembre 2023 consid. 2.2). Malgré la formulation potestative de l'art. 66a al. 2 CP, l'examen d'un cas de rigueur doit être examiné d'office par le juge pénal compétent pour prononcer une expulsion (ATF 147 IV 453 consid. 1.4.5 ; 144 IV 332 consid. 3.3). 5.2.1. En l'espèce, compte tenu des faits retenus, l'infraction commise par l'appelante, qui touche un bien juridique dont la protection est particulièrement importante, est suffisamment grave pour atteindre le seuil nécessaire pour qu'une expulsion soit, par exception, possible au regard de l'art. 5 § 1 de l'Annexe I ALCP. 5.2.2. Au titre de l'examen de la clause de rigueur, il sera relevé que l'appelante n'est réellement installée en Suisse que depuis 2022 et qu'elle n'y exerce une profession que depuis 2024. Elle ne soutient pas avoir tissé de liens particuliers avec ce pays en dehors de son emploi, en particulier amical ou associatif. Son fils, qu'elle voit un week-end sur deux, est domicilié à J______, où elle vivait et travaillait avant d'arriver à Genève. Sa relation de couple, qui a débuté en 2023 et a abouti à un mariage très récemment en mars 2025, n'est pas suffisante pour créer un lien si intense avec la Suisse qu'il commande de renoncer, en application de la clause de rigueur, à son expulsion. Rien n'empêche en effet le couple de s'installer en France voisine, où l'appelante aura tout le loisir d'exercer le métier d'infirmière comme elle le fait déjà en Suisse, étant relevé que son diplôme marocain a officiellement été reconnu dans ce pays de sorte qu'elle ne devrait pas rencontrer d'obstacle à cet égard. À cela s'ajoute, comme déjà mentionné supra, que son propre enfant est actuellement établi dans ce pays. Une expulsion du territoire suisse ne placerait dès lors manifestement pas l'appelante dans une situation personnelle grave, de sorte que l'intérêt public à l'ordonner l'emporte sur son intérêt personnel à demeurer dans le pays. 5.2.3. Cette mesure sera, partant, ordonnée pour une durée de cinq ans correspondant au minimum légal.</w:t>
      </w:r>
    </w:p>
    <w:p>
      <w:r>
        <w:rPr>
          <w:b/>
        </w:rPr>
        <w:t>E. 5.3</w:t>
      </w:r>
    </w:p>
    <w:p>
      <w:r>
        <w:t>Il n'y a toutefois pas lieu d'étendre l'expulsion prononcée à l'ensemble de l'espace Schengen, l'appelante étant ressortissante d'un État membre.</w:t>
      </w:r>
    </w:p>
    <w:p>
      <w:r>
        <w:rPr>
          <w:b/>
        </w:rPr>
        <w:t>E. 6</w:t>
      </w:r>
    </w:p>
    <w:p>
      <w:r>
        <w:t>6.1.1. Selon l'art. 67 al. 3 let. b CP, l'auteur d'une infraction d'acte d'ordre sexuel avec des enfants doit se voir interdire à vie, par le juge, l'exercice de toute activité professionnelle et non professionnelle organisée impliquant des contacts réguliers avec des mineurs. 6.1.2. Les situations dans lesquelles le juge peut renoncer à une telle interdiction en application de l'art. 67 al. 4bis CP se limitent aux cas de peu de gravité, si un tel prononcé ne paraît de surcroît pas nécessaire pour détourner l'auteur, qui ne doit pas être considéré comme pédophile selon les critères de classifications internationalement reconnus, de la commission d'infractions passibles de cette même mesure. 6.1.3. Ont notamment été qualifiés de cas de très peu de gravité l'envoi à huit connaissances de l'auteur d'une vidéo où deux mineurs de moins de 16 ans ont des relations sexuelles par le biais de l'application Facebook Messenger à titre de plaisanterie de mauvais goût (cf. AARP/402/2023 du 19 octobre 2023 consid. 3.3.1 et 5.2.1), le fait, pour un auteur majeur, d'avoir embrassé la joue et tenté de toucher les fesses d'une jeune fille de 13 ans contre son gré dans un ascenseur (cf. AARP/441/2023 du 14 décembre 2023 consid. 4.2.2 et 6.2) ou encore l'envoi, à deux amis pour plaisanter, d'une vidéo mettant en scène un jeune garçon âgé de 12 à 14 ans qui se masturbe (cf. AARP/124/2024 du 26 mars 2024 consid. 4.2 et 6.2). En revanche, le téléchargement de 236 images et six films à caractère pédophile à des fins de consommation personnelle (cf. arrêt du Tribunal fédéral 7B_143/2022 du 18 juillet 2023 consid. 2.6), de 136 images du même type (cf. ATF 149 IV 161 consid. 2.6.1), de la possession d'une vidéo du viol avec torture d'une enfant de deux ans (cf. arrêt du Tribunal fédéral 6B_1027/2021 du 5 juin 2023 consid. 2.4.2) et du téléchargement de quatre images et deux films incluant des mineures dans des poses plus que suggestives et une relation sexuelle entre un mineur et des animaux (cf. arrêt du tribunal fédéral 7B_479/2023 du 21 novembre 2023 consid. 2.4.1) n'ont pas été qualifiés de cas d'importance mineure, tout comme celui d'un auteur ayant pratiqué l'onanisme dans une piscine publique en présence d'une enfant de 11 ans (cf. arrêt du Tribunal cantonal vaudois CAPE 2023/389 du 31 octobre 2023 consid. 3.3.1).</w:t>
      </w:r>
    </w:p>
    <w:p>
      <w:r>
        <w:rPr>
          <w:b/>
        </w:rPr>
        <w:t>E. 6.2</w:t>
      </w:r>
    </w:p>
    <w:p>
      <w:r>
        <w:t>À la lecture de la jurisprudence en la matière, les actes dont l'appelante s'est rendue coupable sont en l'espèce d'une gravité trop importante pour être considérée comme de " peu de gravité ", de sorte que l'interdiction, à vie, d'exercer toute activité professionnelle et non professionnelle organisée impliquant des contacts réguliers avec des mineurs doit être confirmée et l'appel de A______ rejeté sur cette question.</w:t>
      </w:r>
    </w:p>
    <w:p>
      <w:r>
        <w:rPr>
          <w:b/>
        </w:rPr>
        <w:t>E. 7.1</w:t>
      </w:r>
    </w:p>
    <w:p>
      <w:r>
        <w:t>L'appelante obtient en l'espèce gain de cause sur la question de sa culpabilité du chef de contrainte sexuelle, mais également, partiellement, sur celle de la peine et des conclusions en indemnisation du dommage matériel de l'intimé. Elle succombe toutefois sur l'expulsion et les conclusions en tort moral du précité. Dans cette mesure, elle supportera les frais de la procédure d'appel à hauteur de 40%, le solde étant laissé à la charge de l'État (art. 428 al. 1 CPP).</w:t>
      </w:r>
    </w:p>
    <w:p>
      <w:r>
        <w:rPr>
          <w:b/>
        </w:rPr>
        <w:t>E. 7.2</w:t>
      </w:r>
    </w:p>
    <w:p>
      <w:r>
        <w:t>Les frais de la procédure préliminaire et de première instance seront entièrement laissés à sa charge en dépit de son acquittement dès lors que l'infraction concernée visait les mêmes faits que ceux pour lesquels elle a été reconnue coupable d'actes d'ordre sexuel avec des enfants et qu'elle n'a de la sorte pas nécessité davantage d'actes d'instruction ou de travail par les premiers juges (art. 426 al. 1 CP).</w:t>
      </w:r>
    </w:p>
    <w:p>
      <w:r>
        <w:rPr>
          <w:b/>
        </w:rPr>
        <w:t>E. 8</w:t>
      </w:r>
    </w:p>
    <w:p>
      <w:r>
        <w:t>8.1.1. L'art. 433 al. 1 CPP, applicable à la procédure d'appel par renvoi de l'art. 436 al. 1 CPP, prévoit que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si ses prétentions civiles sont admises et/ou lorsque le prévenu est condamné. Dans ce dernier cas, la partie plaignante peut être indemnisée pour les frais de défense privée en relation avec la plainte pénale (ATF 139 IV 102 consid. 4.1 et 4.3 ; arrêt du Tribunal fédéral 6B_549/2015 du 16 mars 2016 consid. 2.3). 8.1.2.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 du Tribunal fédéral 6B_938/2023 du 21 mars 2024 consid. 4.1 non publié aux ATF 150 IV 273 ). 8.2.1. L'intimé obtient en l'espèce gain de cause, d'une part sur la question des conclusions civiles, mais également sur celle de la culpabilité dans la mesure où, bien qu'acquittée du chef de contrainte sexuelle pour une question d'ordre purement juridique, l'appelante demeure reconnue coupable et condamnée pour les uniques faits dénoncés. L'intimé peut dès lors prétendre à une indemnisation fondée sur l'art. 433 al. 1 let. a CPP, étant relevé pour le surplus qu'après avoir bénéficié de l'assistance juridique gratuite durant la procédure préliminaire et de première instance, il n'a pas formulé de demande dans ce sens dans le cadre de la procédure d'appel comme le requiert l'art. 136 al. 3 CPP. 8.2.2. La note d'honoraires produite par l'intimé pour l'activité déployée par son conseil, M e E______, au stade de la procédure d'appel pour un total de 8h30 doit être réduite d'1h15 correspondant à la rédaction de la " demande de non entrée en matière + constatation d'irrecevabilité de l'appel " et de 30 minutes consacrées à la revue de la déclaration d'appel et à une analyse juridique à cet égard. Les griefs soulevés en lien avec ces postes, sans assise juridique, étaient dépourvus de toute chance de succès. La durée effective de l'audience d'appel, soit 3h40, sera indemnisée en sus. 8.2.3. Partant, l'appelante sera condamnée à s'acquitter, en faveur de l'intimé, d'un montant total de CHF 2'252.10 correspondant à 10h25 d'activité au taux horaire de CHF 200.- (CHF 2'083.35) augmentées de l'équivalent de la TVA au taux de 8.1% (CHF 168.75).</w:t>
      </w:r>
    </w:p>
    <w:p>
      <w:r>
        <w:rPr>
          <w:b/>
        </w:rPr>
        <w:t>E. 9</w:t>
      </w:r>
    </w:p>
    <w:p>
      <w:r>
        <w:t>9.1.1.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9.1.2.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9.1.3.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9.1.4.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9.1.5.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75.- pour les collaborateurs, dite rémunération étant allouée d'office par la juridiction d'appel pour les débats devant elle. 9.2.1. La note d'honoraires déposée par M e C______, qui comptabilise au total 3h30 d'activité de chef d'étude, 38h10 d'activité de collaborateur et 3h35 d'activité d'avocate-stagiaire, hors débats d'appel, est largement excessive pour une procédure déjà bien connue pour avoir été plaidée en première instance cinq mois auparavant. Les quatre heures de conférence avec la cliente, non détenue, doivent ainsi être ramenées à deux heures d'activité de chef d'étude, amplement suffisantes pour expliquer le verdict du TCO et évoquer la procédure d'appel. L'analyse du jugement (1h30), activité couverte par le forfait, ne sera pas indemnisée. Il en ira de même des recherches juridiques effectuées par l'avocate-stagiaire (3h), dont la responsabilité de la formation incombe au maître de stage. L'activité déployée par le collaborateur au titre de recherches juridiques, examen du dossier et préparation d'audience sera globalement ramenée à 16h de travail pour tenir compte de l'enjeu de la procédure, ce qui est déjà généreux. La durée effective des débats, soit 3h40, sera indemnisée en sus au tarif horaire de CHF 150.- (présence du collaborateur). En conclusion, la rémunération sera arrêtée à CHF 4'140.95 correspondant à 2h d'activité au tarif de CHF 200.-/heure (CHF 400.-), 19h40 d'activité au tarif de CHF 150.-/heure (CHF 2'950.-) et 35 min au tarif de CHF 110.-/heure (CHF 64.20), plus la majoration forfaitaire de 10% (CHF 341.45), CHF 75.- de vacation et l'équivalent de la TVA au taux de 8.1% en CHF 310.30.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