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P/24469/2014 vom 13. März 2019</w:t>
      </w:r>
    </w:p>
    <w:p>
      <w:r>
        <w:t>GE Cour de justice, 2019-03-13, FR</w:t>
      </w:r>
    </w:p>
    <w:p>
      <w:r>
        <w:rPr>
          <w:b/>
        </w:rPr>
        <w:t xml:space="preserve">Quelle: </w:t>
      </w:r>
      <w:r>
        <w:t>https://mcp.opencaselaw.ch/entscheid/ge_gerichte_P_24469_2014</w:t>
      </w:r>
    </w:p>
    <w:p>
      <w:r>
        <w:t>FR: GE_GERICHTE P/24469/2014 du 13 mars 2019</w:t>
      </w:r>
    </w:p>
    <w:p>
      <w:r>
        <w:t>IT: GE_GERICHTE P/24469/2014 del 13 marzo 2019</w:t>
      </w:r>
    </w:p>
    <w:p>
      <w:pPr>
        <w:pStyle w:val="Heading2"/>
      </w:pPr>
      <w:r>
        <w:t>Regeste</w:t>
      </w:r>
    </w:p>
    <w:p>
      <w:r>
        <w:t>CLASSEMENT DE LA PROCÉDURE ; SUSPENSION DE LA PROCÉDURE | CPP.314; CPP.319</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des parties plaignantes qui, parties à la procédure (art. 104 al. 1 let. b CPP), ont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3.1</w:t>
      </w:r>
    </w:p>
    <w:p>
      <w:r>
        <w:t>L'art. 319 al. 1 CPP prévoit que le Ministère public ordonne le classement de tout ou partie de la procédure lorsqu'aucun soupçon justifiant une mise en accusation n'est établi (let. a) ou lorsque les éléments constitutifs d'une infraction ne sont pas réunis (let. b). ![endif]&gt;![if&gt; Cette disposition doit être appliquée conformément à l'adage in dubio pro duriore . Celui-ci, qui découle du principe de la légalité (art. 5 al. 1 Cst. et 2 al. 2 CPP en relation avec les art. 319 al. 1 et 324 CPP; ATF 138 IV 86 consid. 4.2) et qui s'impose également à l'autorité de recours, signifie qu'en principe, un classement ou une non-entrée en matière ne peuvent être prononcés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A. KUHN / Y. JEANNERET (éds), Commentaire romand : Code de procédure pénale suisse, Bâle 2011, n. 5 ad art. 319; arrêt du Tribunal fédéral 6B_588/2007 du 11 avril 2008 consid. 3.2.3, publié in Praxis 2008 n. 123).</w:t>
      </w:r>
    </w:p>
    <w:p>
      <w:r>
        <w:rPr>
          <w:b/>
        </w:rPr>
        <w:t>E. 3.2</w:t>
      </w:r>
    </w:p>
    <w:p>
      <w:r>
        <w:t>À teneur de l'art. 314 al. 1 let. a CPP, le Ministère public peut suspendre une instruction, notamment, lorsque l’auteur ou son lieu de séjour est inconnu ou qu’il existe des empêchements momentanés de procéder. Cette disposition est potestative et les motifs de suspension ne sont pas exhaustifs. Le ministère public dispose dès lors d'un certain pouvoir d'appréciation lui permettant de choisir la mesure la plus opportune entre une suspension de la procédure ou un refus d'entrer en matière. Dans son résultat, la non-entrée en matière ne se distingue pas fondamentalement d'une suspension de la procédure, puisque, selon l'art. 323 al. 1 CPP (applicable par renvoi de l'art. 310 al. 2 CPP), la procédure pourra être reprise en cas de moyens de preuve ou de faits nouveaux (arrêt du Tribunal fédéral 1B_67/2012 précité consid. 3.2. in fine ). La Chambre de céans a appliqué cette jurisprudence au classement de la procédure par identité de motifs ( ACPR/403/2014 du 9 septembre 2014 consid. 3.1; ACPR/507/2014 du 5 novembre 2014 consid. 2.2).</w:t>
      </w:r>
    </w:p>
    <w:p>
      <w:r>
        <w:rPr>
          <w:b/>
        </w:rPr>
        <w:t>E. 3.3</w:t>
      </w:r>
    </w:p>
    <w:p>
      <w:r>
        <w:t>En l'espèce, la décision litigieuse ne conteste pas que les éléments constitutifs de l'infraction dénoncée sont réunis; elle est justifiée par l'absence d'identification des auteurs de l'infraction. Le Ministère public a fait procéder à toutes les investigations possibles en l'état du dossier. Les recourants ne le contestent pas vraiment et n'indiquent surtout pas quel acte d'enquête raisonnable ils entendent proposer. Dans ces conditions, le Ministère public pouvait renoncer à une suspension de la procédure et on ne voit pas que le Ministère public, nanti d'un rapport de police lui annonçant la survenance desdits faits nouveaux, il ne déciderait pas d'office la reprise de la procédure, ce d'autant qu'il a expressément réservé cette hypothèse dans sa décision.</w:t>
      </w:r>
    </w:p>
    <w:p>
      <w:r>
        <w:rPr>
          <w:b/>
        </w:rPr>
        <w:t>E. 4</w:t>
      </w:r>
    </w:p>
    <w:p>
      <w:r>
        <w:t>Justifiée, l'ordonnance querellée sera donc confirmée.![endif]&gt;![if&gt;</w:t>
      </w:r>
    </w:p>
    <w:p>
      <w:r>
        <w:rPr>
          <w:b/>
        </w:rPr>
        <w:t>E. 5</w:t>
      </w:r>
    </w:p>
    <w:p>
      <w:r>
        <w:t>Les recourants, qui succombent, supporteront les frais envers l'État, qui seront fixés en totalité à CHF 1'000.-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