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P/24426/2018 vom 9. November 2021</w:t>
      </w:r>
    </w:p>
    <w:p>
      <w:r>
        <w:t>GE Cour de justice, 2021-11-09, FR</w:t>
      </w:r>
    </w:p>
    <w:p>
      <w:r>
        <w:rPr>
          <w:b/>
        </w:rPr>
        <w:t xml:space="preserve">Quelle: </w:t>
      </w:r>
      <w:r>
        <w:t>https://mcp.opencaselaw.ch/entscheid/ge_gerichte_P_24426_2018</w:t>
      </w:r>
    </w:p>
    <w:p>
      <w:r>
        <w:t>FR: GE_GERICHTE P/24426/2018 du 9 novembre 2021</w:t>
      </w:r>
    </w:p>
    <w:p>
      <w:r>
        <w:t>IT: GE_GERICHTE P/24426/2018 del 9 novembre 2021</w:t>
      </w:r>
    </w:p>
    <w:p>
      <w:pPr>
        <w:pStyle w:val="Heading2"/>
      </w:pPr>
      <w:r>
        <w:t>Regeste</w:t>
      </w:r>
    </w:p>
    <w:p>
      <w:r>
        <w:t>VIOLENCE DOMESTIQUE | CP.123.al2; CPP.10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p. 184 ; arrêts du Tribunal fédéral 6B_942/2017 du 5 mars 2018 consid. 2.1.2 ; 6B_614/2012 du 15 février 2013 consid. 3.2.5).</w:t>
      </w:r>
    </w:p>
    <w:p>
      <w:r>
        <w:rPr>
          <w:b/>
        </w:rPr>
        <w:t>E. 2.5</w:t>
      </w:r>
    </w:p>
    <w:p>
      <w:r>
        <w:t>En l’espèce, l’appelante conteste être à l’origine des lésions constatées par les médecins sur son époux. On se trouve ainsi dans une situation de déclarations qui s’opposent. L’intimé a toujours été constant dans ses déclarations, qui sont empreintes de sincérité. Il n’a pas nié sa propre implication dans les disputes conjugales, admettant avoir enregistré son épouse contre son gré, sans toutefois avoir fait usage de ces enregistrements qui ne figurent en tout cas pas au dossier pénal. Il a décrit de façon constante comment son épouse s’est servie de ses béquilles – dont elle avait l’usage à la période des faits – pour lui porter ces coups, qui apparaissent, vu leur emplacement, compatibles avec ces déclarations. Il a fourni des explications sur la lésion au visage de son épouse, en minimisant certes son rôle mais sans nier l’altercation. A l’exception des enfants du couple, qui semblent malheureusement avoir été exposés aux débordements de leurs parents mais ne sont pas en âge d’être entendus comme témoins, personne n’a assisté aux faits. Cela étant, les lésions constatées par les médecins à quelques jours d’intervalle sont établies et compatibles avec les faits décrits par l’intimé. L’appelante a d’ailleurs admis, en cours de procédure, avoir fait usage de ses béquilles pour contrer son époux. L’endroit de ces lésions – les mains – correspond à un geste de défense, la main du plaignant s’interposant pour prévenir un coup porté avec la canne. Contrairement à ce qui a pu être plaidé, le 20 octobre 2018 est un samedi : cette date ne porte ainsi aucune atteinte au crédit du plaignant, puisque les enfants du couple étaient vraisemblablement présents au domicile. Les propos visant à ternir l’image et la personne du plaignant, inélégants et déplacés, sont sans portée concrète et démontrent tout au plus l’importance du conflit conjugal, étant relevé que la seule pièce produite à cet égard confirme l’existence d’un litige aigu entre l’époux et des associés en affaire. La détérioration de la situation financière de la famille ressort, en partie, du dispositif civil produit ; cette situation tendue peut expliquer une certaine tension entre les conjoints. A teneur du procès-verbal du TP, les deux époux ont eu un comportement inadéquat devant le premier juge ; l’appelante cherche ainsi en vain à tirer un argument en sa faveur du reproche qui a été fait à l’intimé à cette occasion. Par ailleurs l’appelante décrit elle-même comment elle s’est déplacée dans le logement conjugal pour suivre son époux dans la chambre à l’étage, ce qui dément l’allégation selon laquelle elle n’aurait pas été en mesure de se mouvoir en raison de son opération du genou. Enfin, l’influence éventuelle de la morphine – nouvellement alléguée à l’audience d’appel et non confirmée par les pièces produites qui ne mentionnent pas ce médicament – ne modifie en rien ces constatations qui conduisent à retenir que, nonobstant le handicap présenté par les béquilles et la récente intervention chirurgicale, elle était en mesure de se déplacer. Si tel n’avait pas été le cas, on peut d’ailleurs se demander pourquoi elle aurait disposé de béquilles. La prise de CLEXANE est pour sa part sans pertinence. Le seul autre constat extérieur est celui des policiers intervenus en novembre 2019, qui décrivent le plaignant comme calme tandis que la prévenue était « tout le contraire », ce qui correspond à la description faite par l’époux sur la relation des conjoints. A cela s’ajoute encore l’événement de décembre 2017, dont il ressort que l’appelante a pu perdre ses moyens dans le contexte du conflit conjugal. Tout bien pesé, compte tenu de l’ensemble des éléments, et surtout des certificats médicaux qui constatent des atteintes, la version de l’appelante, qui nie toute responsabilité dans les lésions constatées, n’emporte pas conviction. La CPAR est convaincue qu’elle a bel et bien, dans un excès de colère, utilisé, à deux reprises, ses béquilles pour s’en prendre à son époux qui a été touché aux mains en cherchant à dévier le coup ou se protéger.</w:t>
      </w:r>
    </w:p>
    <w:p>
      <w:r>
        <w:rPr>
          <w:b/>
        </w:rPr>
        <w:t>E. 2.6</w:t>
      </w:r>
    </w:p>
    <w:p>
      <w:r>
        <w:t>Lappelante soutient, à titre subsidiaire, que les lésions devraient être qualifiées de voies de fait, et non de lésions corporelle simple. Au regard de la jurisprudence du Tribunal fédéral citée supra ( cf. notamment consid. 2.4.1), c'est néanmoins à juste titre que le premier juge a retenu la qualification de lésions corporelles simples, étant rappelé que lintimé présentait une contusion sur la main gauche et un hématome sur la main droite, selon les constats médicaux établis le lendemain des faits. Il n’y a pas lieu de sécarter des conclusions de ces documents établis par des professionnels qualifiés. Le terme contusion désigne la lésion provoquée à la suite d'un choc, d'une pression ou d'un écrasement (arrêt du Tribunal fédéral 6B_717/2020 du 26 novembre 2020 consid. 1.2) ; comme déjà relevé, un hématome implique une rupture de vaisseau sanguin. Les marques relevées ne sauraient ainsi être considérées comme une atteinte inoffensive et passagère au bien-être du plaignant. Si celui-ci n’a certes pas insisté sur les lésions, les mains sont un endroit particulièrement sensible du corps, qui marque par ailleurs peu. La force nécessaire pour y laisser une trace visible n’est pas négligeable. Cela dit, si les actes de violence commis par lappelante ne sauraient être qualifiés de voies de fait, les blessures observées se situent plutôt dans la limite inférieure des lésions réprimées par lart. 123 CP. Il ne peut être fait application de lart. 123 ch. 1 al. 2 dans le cas despèce, dans la mesure où les faits ont été commis durant le mariage des parties, linfraction étant de ce fait qualifiée ( cf. consid. 2.4.2). Cet élément sera toutefois pris en compte dans le cadre de la fixation de la peine. Le verdict de culpabilité doit dès lors être confirmé.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w:t>
      </w:r>
    </w:p>
    <w:p>
      <w:r>
        <w:t>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 Basler Kommentar StPO/JStPO, 2ème éd., Bâle 2014, n. 83 ad art. 10).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2.4.1.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Un hématome, résultant de la rupture de vaisseaux sanguins, qui laisse normalement des traces pendant plusieurs jours, doit être qualifié de lésion corporelle. La question peut parfois être résolue de manière satisfaisante par l'application de l'art. 123 ch. 1 al. 2 CP, qui permet une atténuation libre de la peine dans les cas de peu de gravité (cf. ATF 119 IV 25 consid. 2a p. 27). 2.4.2. La forme qualifiée des lésions corporelles simples au sens de l'art. 123 ch. 2 CP sapplique lorsque l'acte commis apparaît particulièrement dangereux ou répréhensible. L'acte est particulièrement dangereux si le moyen utilisé crée un risque élevé de lésions corporelles graves au sens de l'art. 122 CP. Lacte est considéré comme particulièrement répréhensible sil est commis envers une personne sans défense ou ayant besoin de protection, ou que le recours à la violence a eu lieu dans le cadre de la sphère domestique (M. NIGGLI / H. WIPRÄCHTIGER, Basler Kommentar Strafrecht I : Art. 1-136 StGB,</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3.3</w:t>
      </w:r>
    </w:p>
    <w:p>
      <w:r>
        <w:t>En l’espèce, la faute de l’appelante n’est pas négligeable. Par deux fois, elle a perdu le contrôle et s’en est prise à l’intégrité physique de son époux, manifestement sous l’emprise de la colère dans un contexte de relation difficile. Elle s’est servie d’un objet pour l’atteindre, plutôt que de résoudre le litige de façon pacifique ou d’attendre d’avoir recouvré son calme. Sa situation personnelle ne présente aucune particularité et ne saurait justifier son comportement. Les difficultés personnelles et financières liées à la séparation ne justifiaient pas un tel recours à la violence. Elle n’a pas collaboré à l’enquête, niant les faits et rejetant la faute sur son époux. Elle semble même avoir fait échec à des démarches d’apaisement, notamment sous l’égide du service d’aide à la séparation parentale. L’absence d’antécédents a un effet neutre sur la fixation de la peine. Tout bien pesé, chacun des deux épisodes de violence encourt une peine pécuniaire de l’ordre de 40 jours amende. La peine fixée par le premier juge, correspondant à une peine de base de 40 jours aggravée à 60 jours-amende pour tenir compte du concours, apparaît ainsi adéquate. Le montant du jour-amende, qui correspond au minimum légal, est également adéquat et sera confirmé, tout comme le sursis, dont le bénéfice est acquis à l’appelante, ainsi que le délai d’épreuve de trois ans. Le jugement entrepris sera donc intégralement confirmé.</w:t>
      </w:r>
    </w:p>
    <w:p>
      <w:r>
        <w:rPr>
          <w:b/>
        </w:rPr>
        <w:t>E. 4</w:t>
      </w:r>
    </w:p>
    <w:p>
      <w:r>
        <w:t>L'appelante, qui succombe, supportera les frais de la procédure envers l'Etat (art. 428 CPP).</w:t>
      </w:r>
    </w:p>
    <w:p>
      <w:r>
        <w:rPr>
          <w:b/>
        </w:rPr>
        <w:t>E. 5</w:t>
      </w:r>
    </w:p>
    <w:p>
      <w:r>
        <w:t>Par identité de motifs, il n'y a pas lieu à indemnité au sens de l'art.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