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P/24414/2019 vom 3. August 2020</w:t>
      </w:r>
    </w:p>
    <w:p>
      <w:r>
        <w:t>GE Cour de justice, 2020-08-03, FR</w:t>
      </w:r>
    </w:p>
    <w:p>
      <w:r>
        <w:rPr>
          <w:b/>
        </w:rPr>
        <w:t xml:space="preserve">Quelle: </w:t>
      </w:r>
      <w:r>
        <w:t>https://mcp.opencaselaw.ch/entscheid/ge_gerichte_P_24414_2019</w:t>
      </w:r>
    </w:p>
    <w:p>
      <w:r>
        <w:t>FR: GE_GERICHTE P/24414/2019 du 3 août 2020</w:t>
      </w:r>
    </w:p>
    <w:p>
      <w:r>
        <w:t>IT: GE_GERICHTE P/24414/2019 del 3 agosto 2020</w:t>
      </w:r>
    </w:p>
    <w:p>
      <w:pPr>
        <w:pStyle w:val="Heading2"/>
      </w:pPr>
      <w:r>
        <w:t>Regeste</w:t>
      </w:r>
    </w:p>
    <w:p>
      <w:r>
        <w:t>EXPULSION(DROIT PÉNAL) | CP.66.leta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 2.1.2. Selon l'art. 19 al. 1 let. b LStup, celui qui, sans droit, entrepose, expédie, transporte, importe, exporte des stupéfiants ou les passe en transit est puni d'une peine privative de liberté de trois ans au plus ou d'une peine pécuniaire. L'art. 19 al. 1 let. b LStup réprime donc le fait d'entreposer la drogue, que ce soit dans un logement, un local commercial ou une cachette dans la nature. Entreposer vise aussi bien le fait de mettre la drogue dans un endroit déterminé en vue de la conserver que le fait de la recevoir pour la garder. Ainsi, l'infraction est commise aussi bien par le déposant que par le dépositaire. Il n'est pas nécessaire que le dépositaire manipule lui-même la drogue, ni qu'il en ait la possession pendant le dépôt (B. CORBOZ, Les infractions en droit suisse , Berne 2010, vol. II, n. 25 ad art. 19 LStup. La LStup érige en infraction indépendante des actes de soutien qui, pour d'autres infractions, ne seraient que des cas de participation à l'infraction principale; dans toutes ces hypothèses, il faut simplement considérer que l'accusé est l'auteur de l'infraction. Il importe peu qu'il n'ait été qu'un personnage secondaire dans l'organisation, qu'il se soit borné à obéir à un ordre ou qu'il n'ait pas agi dans son intérêt personnel ou de sa propre initiative (B. CORBOZ, op. cit ., n. 136 ad art. 19 LStup et les références citées).</w:t>
      </w:r>
    </w:p>
    <w:p>
      <w:r>
        <w:rPr>
          <w:b/>
        </w:rPr>
        <w:t>E. 2.2</w:t>
      </w:r>
    </w:p>
    <w:p>
      <w:r>
        <w:t>En arguant avoir indiqué que la cocaïne trouvée à son domicile avait été entreposée uniquement par D______ sans qu'il le sache, ce que celui-ci avait confirmé, et que le TCO ne pouvait ainsi retenir une autre version, l'appelant oublie ses déclarations initiales à la police et lors de sa première audition au MP. Selon ces dernières, D______ s'était présenté au domicile de l'appelant en possession de cocaïne, lui demandant de la reconditionner puis de la garder dans sa chambre, jusqu'à ce que celui-ci revienne la chercher quand son état de santé le lui permettrait. Ses déclarations initiales sont précises et cohérentes. La présence d'une balance électronique au domicile de l'appelant les conforte dans ce sens et semble écarter la possibilité d'une aide spontanée et non prévue de l'appelant à son ami. Il apparait ainsi que l'appelant a modifié au fils des audiences ses propos afin de minimiser les faits et de rejeter la faute sur D______. Ce dernier n'a en outre confimé les déclarations de l'appelant en audience de confrontation que dans un deuxième temps, alors que A______ avait d'ores et déjà fait part de sa version devant lui. De plus, comme l'a à juste titre relevé le TCO, D______ a déposé la drogue au domicile de l'appelant le 28 juin 2019 et l'intervention de la police n'a eu lieu que le 3 juillet 2019. Si, comme l'a soutenu l'appelant dans un deuxième temps, D______ lui avait annoncé avoir laissé la drogue chez lui qu'une fois qu'ils se trouvaient dans le bus, ce qu'il aurait refusé si celui-ci le lui avait demandé, il avait tout loisir de se débarasser de la cocaïne dans l'intervalle, ce qu'il n'a pas fait. Ainsi, il ne fait aucun doute pour la CPAR que l'appelant a conservé la drogue a son domicile en toute connaissance de cause. La culpabilité de l'appelant concernant infraction à l'art. 19 al. 1 let. b LStup est confirmée et l'appel sera donc rejeté sur ce point.</w:t>
      </w:r>
    </w:p>
    <w:p>
      <w:r>
        <w:rPr>
          <w:b/>
        </w:rPr>
        <w:t>E. 3</w:t>
      </w:r>
    </w:p>
    <w:p>
      <w:r>
        <w:t>Les infractions à l'art. 19 al. 1 let. b, c et d et al. 2 let. a LStup sont passibles d'une peine privative de liberté d'un an au moins, cumulable avec une peine pécuniaire, tandis que l'infraction à l'art. 115 al. 1 let. a et b LEI est passible d'une peine privative de liberté d'un an au plus ou d'une peine pécuniaire.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3.1.2.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3.1.3.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3.1.4. Le juge peut suspendre partiellement l'exécution d'une peine privative de liberté d'un an au moins et de trois ans au plus afin de tenir compte de façon appropriée de la faute de l'auteur. La partie à exécuter ne peut excéder la moitié de la peine (art. 43 CP).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arrêts du Tribunal fédéral 6B_1339/2016 du 23 mars 2017 consid. 1.1.1). Le défaut de prise de conscience de la faute peut justifier un pronostic défavorable, car seul celui qui se repent de son acte mérite la confiance que l'on doit pouvoir accorder au condamné bénéficiant du sursis (ATF 82 IV 81 ; arrêt du Tribunal fédéral 6B_276/2018 du 29 septembre 2018 consid. 3.1).</w:t>
      </w:r>
    </w:p>
    <w:p>
      <w:r>
        <w:rPr>
          <w:b/>
        </w:rPr>
        <w:t>E. 3.2</w:t>
      </w:r>
    </w:p>
    <w:p>
      <w:r>
        <w:t>En l'espèce, la faute de l'appelant n'est pas négligeable dans la mesure où il a agi par mépris de la législation en vigueur en matière de stupéfiants et de droit des étrangers. Il a certes pris part à un trafic de stupéfiants local sur une courte période pénale concernant la vente des 25 grammes de cocaïne et joué un rôle secondaire en préparant 46 boulettes de cocaïne et en entreposant 65 grammes de cette drogue à son domicile. Toutefois, la quantité de drogue totale, dont le taux de pureté était élevé, est importante, dépassant largement le seuil de l'aggravante prévue à l'art.  19  al. 2 LStup. L'appelant, par appât d'un gain rapide et facile, n'a ainsi pas hésité à mettre en danger la santé de nombreuses personnes. Même si la précarité de sa situation pourrait expliquer, en partie, ses agissements, elle ne saurait les justifier, étant relevé que l'appelant dispose d'un titre de séjour espagnol lui permettant de travailler légalement dans ce pays, voire d'y obtenir de l'aide. En outre, au moment des faits, il travaillait en Suisse, de manière certes illégale, mais percevait un revenu stable bien que modeste, selon ses propres déclarations. Sa collaboration peut être qualifiée de moyenne. Même s'il a varié dans ses déclarations, malgré ses aveux initiaux, en cherchant à minimiser ses actes et à rejeter la faute sur D______, il s'est lui-même incriminé en lien avec la vente de 25 grammes de cocaïne alors que la police ne disposait d'aucun élément à ce sujet. Sa prise de conscience semble limitée et essentiellement résultée des sanctions encourues et des conséquences sur son avenir, tout comme les regrets exprimés. Ses antécédents sont spécifiques et ses précédentes condamnations, dont une peine privative de liberté ferme, ne l'ont pas dissuadé de récidiver. En outre, il a bénéficié d'une nouvelle chance lorsque le MP n'a pas révoqué le sursis octroyé le 26 novembre 2015 lors de sa condamnation du 21 août 2018, dont il n'a pas tiré profit. Au vu des éléments ci-dessus, le pronostic le concernant est ainsi défavorable, ou à tout le moins hautement incertain. Dans ces circonstances, les conditions du sursis ne sont pas réalisées et seule une peine privative de liberté ferme est à même d'atteindre le but de prévention spéciale pour les deux infractions en cause. Pour l'infraction à la Lstup qui est abstraitement la plus grave, la CPAR retiendra une peine privative de liberté de 15 mois, au vu des éléments surexaminés. Pour tenir compte de l'infraction à la LEI, la peine précitée sera aggravée d'un mois.</w:t>
      </w:r>
    </w:p>
    <w:p>
      <w:r>
        <w:rPr>
          <w:b/>
        </w:rPr>
        <w:t>E. 4</w:t>
      </w:r>
    </w:p>
    <w:p>
      <w:r>
        <w:t>4.1.1.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4.1.2. Si la peine révoquée et la nouvelle peine sont du même genre, le juge fixe une peine d'ensemble en appliquant par analogie l'art. 49 CP (art. 46 alinéa 2, deuxième phrase CP). Inversement et contrairement à la concurrence rétrospective de l'art. 49 al. 2 CP, le législateur a créé à l'art. 46 alinéa 1, deuxième phrase CP une base légale permettant de revenir ultérieurement sur le jugement entré en force. Ainsi doit-il être possible d'adapter ultérieurement la peine à révoquer dans le cadre de l'aggravation (ATF 145 IV 146 consid. 2.4.1 = JdT 2019 IV 237). Lors de la fixation de la peine d'ensemble, le juge doit partir méthodiquement de la peine infligée pour l'infraction nouvellement commise pendant le délai d'épreuve selon les principes de fixation de la peine des art. 47 ss CP en tant que peine de départ. Il doit ensuite l'augmenter de manière appropriée en raison de la peine révoquée. La peine d'ensemble en résulte. Si la peine de départ pour les infractions commises durant le délai d'épreuve et la peine antérieure constituent elles-mêmes des peines d'ensemble, le juge peut tenir compte de façon modérée de l'aggravation déjà survenue dans le cadre de la fixation des peines d'ensemble respectives (ATF 145 IV 146 consid. 2.4.2 = JdT 2019 IV 237).</w:t>
      </w:r>
    </w:p>
    <w:p>
      <w:r>
        <w:rPr>
          <w:b/>
        </w:rPr>
        <w:t>E. 4.2</w:t>
      </w:r>
    </w:p>
    <w:p>
      <w:r>
        <w:t>En l'espèce, les circonstances justifient la révocation du sursis octroyé le 26 novembre 2015 par le Tribunal de police. Aucun signe n'annonce un changement d'état d'esprit chez l'appelant, hormis des promesses en rapport avec son départ de Suisse, sans projet d'avenir concret. Il affirme vainement qu'il y a absence de pronostic défavorable, mais tout au plus " incertain ", car les 12 mois de détention subis à ce jour lui ont permis de saisir la portée de ses actes et qu'il demeure responsable de son épouse, de ses enfants et de sa nièce, pour qui il est le seul soutien financier. Comme mentionné, l'appelant a déjà bénéficié d'une seconde chance en 2015, lors du prononcé d'une peine privative de liberté avec sursis, puis en 2018, lorsque le MP n'a pas sollicité la révocation dudit sursis, et il était pleinement conscient des conséquences d'une récidive lorsqu'il a commis les faits en cause. La détention subie, en lien avec la condamantion du 21 août 2018, ne l'a pas non plus amené à s'amender. Il sera également noté qu'en 2015, il était déjà financièrement responsable des membres de sa famille. Ainsi, le risque de récidive est élevé. Le prononcé d'une peine privative de liberté, sans révocation du précédent sursis, à elle seule, ne suffirait certainement pas à détourner l'appelant de la commission de nouvelles infractions. Compte tenu de la révocation ordonnée (14 mois), il y a lieu d'aggraver la peine de départ en appliquant par analogie l'art. 49 CP. Autrement dit, il convient d'augmenter la peine privative de liberté de départ de 16 mois de manière appropriée en raison de la peine révoquée. Eu égard à ces critères, la peine privative de liberté de 28 mois prononcée par le premier juge paraît adéquate.</w:t>
      </w:r>
    </w:p>
    <w:p>
      <w:r>
        <w:rPr>
          <w:b/>
        </w:rPr>
        <w:t>E. 5</w:t>
      </w:r>
    </w:p>
    <w:p>
      <w:r>
        <w:t>5.1. En vertu de l'art. 66a let. c CP, le juge expulse de Suisse l'étranger qui est reconnu coupable de l'une des infractions énumérées aux let. a à o, quelle que soit la quotité de la peine prononcée à son encontre, pour une durée de cinq à quinze ans, en tenant compte du principe de proportionnalité (Message du 26 juin 2013 concernant une modification du code pénal et du code pénal militaire [mise en oeuvre de l'art. 121, al. 3 à 6, Cst. relatif au renvoi des étrangers criminels], FF 2013 5416 ; Arrêt du Tribunal fédéral 6B_1043/2017 du 14 août 2018 consid. 3.1.3). La let. o prévoit que tel est le cas si l'étranger a commis une infraction à l'art. 19 al. 2 LStup notamment. La durée de l'expulsion n'a pas à être symétrique à la durée de la peine prononcée (arrêt du Tribunal fédéral 6B_242/2019 du 18 mars 2019, c. 1.3).</w:t>
      </w:r>
    </w:p>
    <w:p>
      <w:r>
        <w:rPr>
          <w:b/>
        </w:rPr>
        <w:t>E. 5.2</w:t>
      </w:r>
    </w:p>
    <w:p>
      <w:r>
        <w:t>En l'espèce, l'appelant ayant été condamné pour violation grave de la LStup, l'art. 66a CP est applicable et son expulsion est obligatoire, ce qui n'est pas contesté. L'appelant a plusieurs antécédents spécifiques en Suisse, pays dans lequel il n'a aucune attache particulière et se trouvait depuis quelques mois à peine sans statut légal, tout en faisant l'objet d'une interdiction d'entrée valable jusqu'au 18 janvier 2021. Il est condamné pour la troisième fois pour une infraction à la LStup, et pour la seconde fois l'infraction est aggravée. Il n'a aucune attache en Suisse. Compte tenu de la gravité des faits et de la récidive, la durée de huit ans (par rapport à un maximum de 15 ans) est adéquate et proportionnée.</w:t>
      </w:r>
    </w:p>
    <w:p>
      <w:r>
        <w:rPr>
          <w:b/>
        </w:rPr>
        <w:t>E. 5.3</w:t>
      </w:r>
    </w:p>
    <w:p>
      <w:r>
        <w:t>Il n'y a pas lieu d'étendre la mesure d'expulsion prononcée à l'ensemble de l'espace Schengen, afin de ne pas compromettre le projet de l'appelant de se réinsérer en Espagne, pays dans lequel il a le droit de résider légalement.</w:t>
      </w:r>
    </w:p>
    <w:p>
      <w:r>
        <w:rPr>
          <w:b/>
        </w:rPr>
        <w:t>E. 6</w:t>
      </w:r>
    </w:p>
    <w:p>
      <w:r>
        <w:t>Les motifs ayant conduit les premiers juges à prononcer, par ordonnance séparée du 3 mars 2020,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frais de la procédure envers l'Etat, comprenant en appel un émolument de CHF 1'500.- (art. 428 CPP et art. 14 al. 1 let. e du Règlement fixant le tarif des frais en matière pénale). Il n'y a pas lieu de revoir les frais de première instance dès lors que celui-ci est reconnu coupable des faits qui lui sont reprochés (art. 426 al. 1 et 428 al. 3 CPP).</w:t>
      </w:r>
    </w:p>
    <w:p>
      <w:r>
        <w:rPr>
          <w:b/>
        </w:rPr>
        <w:t>E. 8</w:t>
      </w:r>
    </w:p>
    <w:p>
      <w:r>
        <w:t>8.1.1. Selon l'art. 135 al. 1 CPP, le défenseur d'office ou le conseil juridique gratuit ( cf. art. 138 al. 1 CPP) est indemnisé conformément au tarif des avocats de la Confédération ou du canton du for du procès. L'art. 16 du règlement sur l'assistance juridique (RAJ)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8.2</w:t>
      </w:r>
    </w:p>
    <w:p>
      <w:r>
        <w:t>En l'occurrence, il y a lieu de retrancher de l'état de frais de la défenseure d'office les postes consacrés à la déclaration d'appel, à la rédaction de courrier, à la lecture du jugement entrepris et à la confection d'un chargé de pièces, qui totalisent 50 minutes et qui sont englobés dans l'activité forfaitaire, laquelle sera ajoutée à l'état de frais à hauteur de 10% de celui-ci. Il y a également lieu de retrancher 45 minutes au temps consacré à la rédaction du mémoire d'appel motivé, le dossier étant à ce stade de la procédure bien connu de la défenseure d'office qui venait de le plaider en première instance et seule la réalisation d'une infraction étant contestée. En conclusion, la rémunération sera arrêtée à CHF 1'352.60 correspondant à 7h55 d'activité au tarif de CHF 150/heure plus la majoration forfaitaire de 10% (CHF  114.20) et l'équivalent de la TVA au taux de 7.7% (CHF 96.70).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