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P/24398/2017 vom 1. März 2019</w:t>
      </w:r>
    </w:p>
    <w:p>
      <w:r>
        <w:t>GE Cour de justice, 2019-03-01, FR</w:t>
      </w:r>
    </w:p>
    <w:p>
      <w:r>
        <w:rPr>
          <w:b/>
        </w:rPr>
        <w:t xml:space="preserve">Quelle: </w:t>
      </w:r>
      <w:r>
        <w:t>https://mcp.opencaselaw.ch/entscheid/ge_gerichte_P_24398_2017</w:t>
      </w:r>
    </w:p>
    <w:p>
      <w:r>
        <w:t>FR: GE_GERICHTE P/24398/2017 du 1 mars 2019</w:t>
      </w:r>
    </w:p>
    <w:p>
      <w:r>
        <w:t>IT: GE_GERICHTE P/24398/2017 del 1 marzo 2019</w:t>
      </w:r>
    </w:p>
    <w:p>
      <w:pPr>
        <w:pStyle w:val="Heading2"/>
      </w:pPr>
      <w:r>
        <w:t>Regeste</w:t>
      </w:r>
    </w:p>
    <w:p>
      <w:r>
        <w:t>COMMERCE DE STUPÉFIANTS; DÉTENTION DE STUPÉFIANTS; FIXATION DE LA PEINE ; USAGE ABUSIF DE PERMIS ET DE PLAQUES | LStup.19.al1; LCR.97.al1; CP.47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Aux termes de l'art. 19 al. 1 let. b, c et d LStup, est puni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ou celui qui, sans droit, possède, détient ou acquiert des stupéfiants ou s'en procure de toute autre manière (let. c). La circonstance aggravante énoncée à l'art. 19 al. 2 LStup est réalisée, lorsque notamment, l'infraction porte sur une quantité de stupéfiants dont l'auteur sait ou ne peut ignorer qu'elle peut mettre en danger la santé de nombreuses personnes (art. 19 al. 2 let. a LStup). Pour la cocaïne, cette dernière condition est objectivement remplie dès que l'infraction porte sur une quantité contenant 18 grammes de substance pure (ATF 122 IV 360 consid. 2a p. 362 ; 138 IV 100 consid. 3.2 p. 102 ; 109 IV 143 consid. 3b p. 145 ; B. CORBOZ, Les infractions en droit suisse , vol. II, 3 e éd., Berne 2010, n. 80 ad art. 19 LStup). Dans le cas de l'aggravante, la quotité de la peine privative de liberté devient d'un an au moins et peut être cumulée à une peine pécuniaire. 2.1.2. A teneur de l'art. 97 al. 1 let. e et f LCR, est puni d'une peine privative de liberté de trois ans au plus ou d'une peine pécuniaire quiconque falsifie ou contrefait des plaques de contrôle pour en faire usage (let. e) ou utilise des plaques de contrôle falsifiées ou contrefaites (let. f).</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2.2.1</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 à partir de laquelle le cas doit être considéré comme grave au sens de l'art. 19 al. 2 let. a LStup (ATF 138 IV 100 consid. 3.2 p. 103 ; ATF 121 IV 193 consid. 2b/aa p. 196 ; arrêt du Tribunal fédéral 6B_189/2017 du 7 décembre 2017 consid. 5.1 et les références). Le type de drogue et sa pureté doivent aussi être pris en considération (ATF 122 IV 299 consid. 2c p. 301 s. ; ATF 121 IV 193 consid. 2b/aa p. 196).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fédéral 6B_780/2018 du 9 octobre 2018 consid. 2.1 ; 6B_807/2017 du 30 janvier 2018 consid. 2.1 ; 6B_189/2017 du 7 décembre 2017 consid. 5.1).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rPr>
          <w:b/>
        </w:rPr>
        <w:t>E. 2.2.2</w:t>
      </w:r>
    </w:p>
    <w:p>
      <w:r>
        <w:t>Des comportements illicites variés en relation avec la même quantité de stupéfiants (par exemple se procurer des stupéfiants, les couper, les détailler, puis les revendre à des tiers) dénotent une implication plus intense de l'auteur dans le trafic, ce qui influe négativement sur sa culpabilité (arrêt du Tribunal fédéral 6B_567/2012 du 18 décembre 2012 consid. 3.3.2).</w:t>
      </w:r>
    </w:p>
    <w:p>
      <w:r>
        <w:rPr>
          <w:b/>
        </w:rPr>
        <w:t>E. 2.3</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4.2.4.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w:t>
      </w:r>
    </w:p>
    <w:p>
      <w:r>
        <w:rPr>
          <w:b/>
        </w:rPr>
        <w:t>E. 2.5</w:t>
      </w:r>
    </w:p>
    <w:p>
      <w:r>
        <w:t>En l'espèce, la faute de l'appelant est grave. Il a, entre mai et août 2018, période ne pouvant pas être considérée comme courte, mis sur pied, de manière indépendante et pour son unique bénéfice, un trafic de cocaïne portant au moins sur un total d'environ 291.5 gr brut, soit 58.3 gr net de cette drogue, quantité qu'il ne conteste plus à ce stade de la procédure et qui est propre à mettre en danger la santé d'un nombre important de consommateurs. L'organisation de son commerce illicite était bien rodée, puisque l'appelant savait où se procurer des quantités non-négligeables de cocaïne et avait à disposition plusieurs lieux de stockage pour sa marchandise. La drogue était principalement entreposée en France voisine, mais il avait déposé de petites quantités à Genève afin de réduire les risques de passage de la frontière et lui permettre de donner suite plus rapidement aux demandes de ses clients. Il s'agit ainsi d'un trafic à dimension internationale. Le nombre d'opérations a été important. En effet, les 70 gr de cocaïne que l'appelant a admis avoir vendu l'ont été sur une période de trois mois et la drogue saisie était destinée à être commercialisée en petites quantités aux toxicomanes. De plus, l'appelant mélangeait, conditionnait et vendait lui-même la cocaïne à des consommateurs des deux côtés de la frontière. Seule son arrestation a mis fin à ses agissements. Enfin, la falsification de plaques d'immatriculation par l'appelant ainsi que leur utilisation dénotent son mépris total pour la loi. L'appelant n'a agi que par pur appât du gain en lien avec l'infraction à la LStup, faisant fi de la santé des consommateurs, n'étant lui-même pas toxicomane. Les explications qu'il a fournies s'agissant de l'entretien de ses enfants, dont deux mineures, et au stade de l'appel en lien avec sa mère, ne sauraient excuser son comportement. En ce qui concerne l'infraction à la LCR, le mobile de l'appelant était futile et strictement égoïste. La situation personnelle de l'appelant peut être qualifiée de bonne et ne peut ainsi expliquer ses agissements illicites. En effet, au moment des faits, il était marié et vivait avec son épouse et leur fille mineure. Il exerçait une activité de parqueteur en Espagne lui permettant d'avoir des ressources suffisantes, lesquelles, additionnées à celles de sa compagne, leur permettaient de vivre décemment. Les difficultés financières alléguées semblent avoir été passagères et ne l'ont pas poussé à faire des économies, en renonçant à la location du box à Genève. La collaboration de l'appelant, contrairement à ce qu'il avance, n'a pas été bonne, mais simplement sans particularité. Il a admis dans leur globalité les faits qui lui étaient reprochés, lesquels n'étaient cependant guère contestables au vu des perquisitions effectuées par la police et de la drogue retrouvée sur lui. Il est vrai qu'il a spontanément fourni des détails sur ses activités illicites, mais a varié en cours de procédure afin de minimiser son implication. La prise de conscience n'en est guère qu'au stade de l'ébauche, l'intéressé semblant surtout affecté par sa situation personnelle et dépité par la différence de traitement d'avec son co-prévenu, mais ne s'est guère exprimé sur la gravité de son comportement et les conséquences pour autrui. Il a un antécédent spécifique et lourd, ce qui a un effet aggravant sur la peine. Il y a concours entre l'infraction à la LStup et celle à la LCR, toutes deux sanctionnées d'une peine privative de liberté de trois ans au plus ou d'une peine pécuniaire, la peine privative de liberté devant au minimum être d'un an en ce qui concerne la première infraction citée. Malgré une précédente condamnation à une peine privative de liberté, les circonstances n'ayant en rien changé par rapport à la situation lorsque l'appelant a choisi de verser à nouveau dans le trafic. Les actes abstraitement les plus graves au sens de l'art. 49 al. 1 CP sont ceux qualifiés de crime à la LStup. Aussi, la CPAR juge appropriée une peine privative de liberté de deux ans et cinq mois en relation avec cette première infraction. A cette peine s'ajoutera un mois afin de tenir compte du concours avec l'autre infraction, d'où une peine privative de liberté d'ensemble de deux ans et six mois. Il n'y a pas lieu de considérer que l'appelant a fait l'objet d'une inégalité de traitement s'agissant du co-prévenu C______. Comme il l'a lui-même rappelé, le complexe de faits pour lequel il a été condamné est différent de celui de son co-prévenu. La Cour n'a ainsi pas à veiller, comme dans le cas de deux prévenus ayant participé à une même infraction, à ce que la différence des peines infligées aux deux intéressés soit justifiée par une différence dans les circonstances personnelles (ATF 141 IV 61 consid. 6.3.2 p. 69 ; ATF 135 IV 191 consid. 3.2 p. 193 s. ; ATF 121 IV 202 consid. 2b p. 244 ss ; arrêts du Tribunal fédéral 6B______/2017 du 13 mars 2018 consid. 4.4.1 ; 6B______/2015 du 15 août 2016 consid. 1.1 et 6S.199/2006 du 11 juillet 2006 consid. 4 in fine ). Ainsi, l'argument de l'appelant, quant au fait qu'il aurait été victime d'une inégalité de traitement, porte à faux. Enfin, eu égard au grief de l'appelant selon lequel la peine prononcée devait être inférieure à celle requise par le Ministère public, il sera rappelé que ni le Tribunal correctionnel ni la Cour de céans ne sont liés par les conclusions de cette autorité. L'appelant a été condamné, le 8 octobre 2013, à une peine privative de liberté de 32 mois, dont 24 avec sursis, soit dans la limite des cinq ans précédant les infractions ici poursuivies. L'existence de cette condamnation exclut donc l'octroi d'un sursis partiel, à moins de circonstances particulièrement favorables, ce qui n'est manifestement pas le cas, et n'est d'ailleurs pas même sérieusement plaidé. Ainsi, les conditions pour l'octroi d'un sursis ne sont ici pas réunies. Partant, l'appel sera rejeté et le jugement entrepris confirmé.</w:t>
      </w:r>
    </w:p>
    <w:p>
      <w:r>
        <w:rPr>
          <w:b/>
        </w:rPr>
        <w:t>E. 3</w:t>
      </w:r>
    </w:p>
    <w:p>
      <w:r>
        <w:t>L'appelant, qui succombe, supportera les frais de la procédure envers l'Etat, y compris un émolument de CHF 2'000.- (art. 428 CPP).</w:t>
      </w:r>
    </w:p>
    <w:p>
      <w:r>
        <w:rPr>
          <w:b/>
        </w:rPr>
        <w:t>E. 4</w:t>
      </w:r>
    </w:p>
    <w:p>
      <w:r>
        <w:t>4.1.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 ; ATF 125 V 408 consid. 3a p. 409 ; arrêts du Tribunal fédéral 6B_1410/2017 du 15 juin 2018 consid. 4.1 ; décision du Tribunal pénal fédéral BB.2015.85 du 12 avril 2016 consid. 3.2.3).</w:t>
      </w:r>
    </w:p>
    <w:p>
      <w:r>
        <w:rPr>
          <w:b/>
        </w:rPr>
        <w:t>E. 4.3</w:t>
      </w:r>
    </w:p>
    <w:p>
      <w:r>
        <w:t>En l'occurrence, les trois heures et 30 minutes facturés par le défenseur d'office de l'appelant, chef d'étude présumé expérimenté, au titre de la procédure d'appel apparaissent excessives, le dossier lui étant connu et ne présentant aucune difficulté particulière en fait ou en droit, ce dont témoigne notamment la brièveté de sa plaidoirie. Le nombre d'heures utiles sera ainsi ramené à une heure et 30 minutes à ce titre. La Cour indemnisera sept heures d'entretien avec l'appelant, correspondant à cinq conférences sur les six facturées, l'une de celles de février 2019 n'étant pas nécessaire même en prévision des débats. A ces heures viennent s'ajouter la durée de l'audience d'appel d'une heure et six minutes. Compte tenu de l'activité déployée depuis l'ouverture de la procédure qui totalise plus de 30 heures, une indemnité forfaitaire de 10% sera accordée au conseil de l'appelant.</w:t>
      </w:r>
    </w:p>
    <w:p>
      <w:r>
        <w:rPr>
          <w:b/>
        </w:rPr>
        <w:t>E. 4.4</w:t>
      </w:r>
    </w:p>
    <w:p>
      <w:r>
        <w:t>En conclusion, l'indemnité sera arrêtée à CHF 2'382.30 correspondant à neuf heures et 36 minutes d'activité au tarif de CHF 200.-/heure (CHF 1'920.-), plus la majoration forfaitaire de 10% (CHF 192.-), ainsi qu'un forfait d'office pour une vacation par le chef d'étude (CHF 100.-) et la TVA de 7.7% (CHF 170.32).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