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P/24384/2021 vom 23. Juni 2025</w:t>
      </w:r>
    </w:p>
    <w:p>
      <w:r>
        <w:t>GE Cour de justice, 2025-06-23, FR</w:t>
      </w:r>
    </w:p>
    <w:p>
      <w:r>
        <w:rPr>
          <w:b/>
        </w:rPr>
        <w:t xml:space="preserve">Quelle: </w:t>
      </w:r>
      <w:r>
        <w:t>https://mcp.opencaselaw.ch/entscheid/ge_gerichte_P_24384_2021</w:t>
      </w:r>
    </w:p>
    <w:p>
      <w:r>
        <w:t>FR: GE_GERICHTE P/24384/2021 du 23 juin 2025</w:t>
      </w:r>
    </w:p>
    <w:p>
      <w:r>
        <w:t>IT: GE_GERICHTE P/24384/2021 del 23 giugno 2025</w:t>
      </w:r>
    </w:p>
    <w:p>
      <w:pPr>
        <w:pStyle w:val="Heading2"/>
      </w:pPr>
      <w:r>
        <w:t>Regeste</w:t>
      </w:r>
    </w:p>
    <w:p>
      <w:r>
        <w:t>ORDONNANCE DE CLASSEMENT;TRAITE D'ÊTRES HUMAINS;USURE(DROIT PÉNAL) | CPP.319.al1.letb; CP.182.al1; CP.157.ch1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ne revient pas sur les infractions d'escroquerie (art. 146 CP) et de contrainte (art. 181 CP) dénoncées dans sa plainte. Ces points n'apparaissant plus litigieux, ils ne seront pas examinés plus avant dans le présent arrêt (art. 385 al. 1 let. a CPP).</w:t>
      </w:r>
    </w:p>
    <w:p>
      <w:r>
        <w:rPr>
          <w:b/>
        </w:rPr>
        <w:t>E. 4</w:t>
      </w:r>
    </w:p>
    <w:p>
      <w:r>
        <w:t>La recourante invoque une violation de son droit d'être entendue, de son droit à un procès équitable ainsi que de la maxime de l'instruction, en raison du rejet de ses réquisitions de preuve. 4.1.1. Le droit d'être entendu, tel qu'il est garanti à l'art. 29 al. 2 Cst., comprend notamment le droit pour le justiciable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(ATF 146 IV 218 consid. 3.1.1). 4.1.2.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4.2</w:t>
      </w:r>
    </w:p>
    <w:p>
      <w:r>
        <w:t>Selon la maxime de l'instruction, posée à l'art. 6 al. 1 CPP, les autorités pénales recherchent d’office tous les faits pertinents pour la qualification de l’acte et le jugement du prévenu.</w:t>
      </w:r>
    </w:p>
    <w:p>
      <w:r>
        <w:rPr>
          <w:b/>
        </w:rPr>
        <w:t>E. 4.3</w:t>
      </w:r>
    </w:p>
    <w:p>
      <w:r>
        <w:t>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w:t>
      </w:r>
    </w:p>
    <w:p>
      <w:r>
        <w:rPr>
          <w:b/>
        </w:rPr>
        <w:t>E. 4.4</w:t>
      </w:r>
    </w:p>
    <w:p>
      <w:r>
        <w:t>En l'espèce, en tant que la recourante prend devant la Chambre de céans des conclusions visant l'administration des preuves précédemment écartées par le Ministère public, cette instance est pleinement habilitée à examiner s'il y a lieu d'y donner suite, dès lors qu'une décision de classement ne peut être prononcée que si aucun acte d'enquête n'apparaît propre à établir une prévention suffisante. Les droits de la recourante sont ainsi respectés.</w:t>
      </w:r>
    </w:p>
    <w:p>
      <w:r>
        <w:rPr>
          <w:b/>
        </w:rPr>
        <w:t>E. 5</w:t>
      </w:r>
    </w:p>
    <w:p>
      <w:r>
        <w:t>La recourante déplore un établissement inexact et arbitraire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 Partant, ce grief sera rejeté.</w:t>
      </w:r>
    </w:p>
    <w:p>
      <w:r>
        <w:rPr>
          <w:b/>
        </w:rPr>
        <w:t>E. 6</w:t>
      </w:r>
    </w:p>
    <w:p>
      <w:r>
        <w:t>La recourante reproche au Ministère public d'avoir classé sa plainte pour traite des êtres humains (art. 182 al. 1 CP), subsidiairement usure (art. 157 ch. 1 CP).</w:t>
      </w:r>
    </w:p>
    <w:p>
      <w:r>
        <w:rPr>
          <w:b/>
        </w:rPr>
        <w:t>E. 6.1</w:t>
      </w:r>
    </w:p>
    <w:p>
      <w:r>
        <w:t>Conformément à l'art. 319 al. 1 CPP, le ministère public ordonne le classement de tout ou partie de la procédure notamment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(arrêts du Tribunal fédéral 6B_174/2019 du 21 février 2019 consid. 2.2).</w:t>
      </w:r>
    </w:p>
    <w:p>
      <w:r>
        <w:rPr>
          <w:b/>
        </w:rPr>
        <w:t>E. 6.2</w:t>
      </w:r>
    </w:p>
    <w:p>
      <w:r>
        <w:t>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 6.3.1. 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financier et peut être seulement passager,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La disproportion doit excéder sensiblement les limites de ce qui apparaît usuel et normal en regard de toutes les circonstances. Un écart de 25% est considéré comme constitutif d'une disproportion (ATF 92 IV 132 consid. 1). Elle doit paraître frappante et s'imposer comme telle (arrêt du Tribunal fédéral 6S_6/2007 du 19 février 2007 consid. 3.1.1). Cette disproportion doit être en lien de causalité avec la situation de faiblesse. 6.3.2.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 accepter la disproportion évidente entre les prestations (ATF 106 IV 106 consid. 7.2 ; arrêt du Tribunal fédéral 6B_649/2020 du 2 octobre 2020 consid. 2.1). 6.4.1. À teneur de l'art. 43 al. 1 ODPr, le domestique privé reçoit chaque mois un salaire net en espèces de CHF 1200.- au minimum. Aucune déduction ne peut être opérée sur ce montant minimum net. Le salaire est versé en francs suisses sur un compte postal ou bancaire en Suisse, ouvert au seul nom du domestique privé (al. 2). 6.4.2. Le salaire en nature et les autres éléments à charge de l'employeur sont décrits à l'art. 44 ODPr et comprennent notamment les frais de logement (al. 2 let. a), les frais de nourriture (al. 2 let. b), ainsi que les frais de voyage du domestique privé pour venir en Suisse au début des rapports de travail (al. 2 let. e). 6.4.3. Selon l'art. 30 al. 1 ODPr, le domestique privé a droit à une chambre privée au domicile de son employeur. 6.4.4. La durée hebdomadaire de travail est de 45 heures (art. 46 al. 1 ODPr) et le droit aux vacances de quatre semaines par année (art. 50 al. 1 let. a ODPr). 6.5.1. En l'occurrence, les parties s'accordent sur le fait qu'un contrat de travail écrit, établi en application de l'ODPr, a été conclu entre elles. Elles se contredisent toutefois sur le fait de savoir si les conditions de travail convenues ont été concrètement respectées, l'employée estimant avoir été victime de traite d'êtres humains et d'usure. Dans un tel cas de figure, il convient d'analyser la crédibilité des déclarations des parties, notamment à l'aune des éléments matériels et autres témoignages au dossier. Il appert que la recourante disposait d'une chambre privée au domicile de ses employeurs, lesquels prenaient en charge ses primes d’assurance ainsi que ses frais de nourriture, de santé et de voyage, ce que la recourante ne conteste pas. S'agissant de son salaire, il est également établi – par pièce – que la somme de CHF 1'200.-, correspondant au contrat-type, lui a été versée mensuellement sur son compte bancaire, à compter du mois de novembre 2019 et ce jusqu'au mois d'octobre 2021. Or, la recourante a, dans un premier temps, déclaré que son salaire ne lui avait jamais été versé, avant de revenir sur ses propos, une fois confrontée au relevé bancaire [lequel présentait un solde positif de CHF 9'130.75 au moment où le Ministère public en avait requis les données], et d'admettre que tel avait bien été le cas durant la période précitée. Elle a alors soutenu qu'elle n'avait pas eu accès à son compte bancaire jusqu'en septembre 2021, son employeur détenant sa carte bancaire et le code PIN y afférent, lesquels auraient été remis à celui-ci le jour de l'ouverture du compte. Les employeurs ont, quant à eux, déclaré – de façon constante – que le carte et le code PIN liés à ce compte avaient été adressés à la recourante par la banque. À l'instar du Ministère public, la Chambre de céans considère comme peu vraisemblable que son employeur ait récupéré la carte bancaire et le code PIN dudit compte le jour-même de son ouverture, comme celle-ci l’affirme. En effet, selon les documents bancaires produits par G______, la recourante est seule titulaire de ce compte et personne – notamment pas ses employeurs – ne dispose de procuration sur cette relation bancaire. L'on ne voit dès lors pas pourquoi un employé de banque aurait remis lesdits documents à son employeur et non à elle-même. De plus, les explications de la plaignante ne coïncident pas avec la pratique usuelle de tout établissement bancaire, qui n’est d'ordinaire pas en mesure de remettre la carte et le code PIN à un nouveau client le jour-même de l’ouverture du compte. Il semble, dès lors, plus probable que ceux-ci aient été envoyés par courrier à l'attention de celle-ci au domicile de ses employeurs, comme ces derniers l’ont expliqué. À cet égard, la recourante a tout d'abord exposé qu'elle n'avait pas accès à la boîte aux lettres de la famille, puis, après avoir été confrontée aux messages produits par son employeur, elle a allégué qu'elle était en mesure de retirer les enveloppes qui se trouvaient dans la boîte aux lettres en y glissant la main dans l'ouverture. Il s'ensuit que la recourante ne peut être suivie lorsqu'elle affirme n'avoir pas eu accès à la boîte aux lettres de la famille. En tout état, celle-ci a, elle-même, admis dans sa plainte qu'elle n'avait jamais demandé à ses employeurs les informations nécessaires pour accéder à son compte, dès lors que son salaire gagné en Suisse devait être utilisé à son retour en Ouganda. Dans ces circonstances, il appert que la recourante avait accès à son compte bancaire, à tout le moins aurait pu y avoir accès si elle s’était adressée à G______, étant relevé qu'il n'est pas contesté que celle-ci disposait de sa carte de légitimation durant l'entier de la période en cause. Il n'existe donc pas de prévention suffisante que les prévenus aient eu le contrôle de sa situation financière. En ce qui concerne le paiement du salaire dû pour la période de janvier à octobre 2019, la recourante a exposé qu'il arrivait que ses employeurs paient, à sa demande, une partie de son salaire par des virements internationaux à des amis ou membres de sa famille. Elle estime toutefois que le montant total ainsi versé s'élève à UGX 7'210'000.-, soit environ CHF 1'740.- au jour de la rédaction de l'ordonnance querellée. Les employeurs ont affirmé avoir effectué des versements pour un montant plus important que celui allégué par la recourante. À cet égard, ils ont versé à la procédure des pièces attestant de plusieurs versements, dont une attestation du 29 novembre 2019, faisant état de la remise d'une somme d'UGX 48'840'000.- (soit environ CHF 13'000.- à l’époque des faits – ce qui correspondrait aux sommes dues en vertu du contrat de travail signé par les parties pour la période en cause –) à un dénommé L______, en tant que paiement du salaire de leur employée. Cette dernière a contesté connaître le précité. Cela étant, les déclarations de la recourante ont fluctué tout au long de la procédure, rendant ses accusations moins crédibles. Ainsi, sur la base des déclarations des parties, il n'est pas possible d'établir que le salaire de la recourante n'a fautivement pas été payé par ses employeurs – qui sont demeurés constants dans leurs explications – entre janvier et octobre 2019, de façon à engendrer une disproportion évidente entre l'avantage et la prestation échangée au sens de l'art. 157 ch. 1 CP. Il en va de même de son droit aux vacances. En effet, ici aussi le récit de la recourante a été émaillé de contradictions, celle-ci alléguant, à certaines reprises, n'avoir pas eu droit à des vacances, avant de soutenir – après avoir été mise face à ses incohérences – n'avoir pris des vacances que durant 21 jours en 2019 et 16 jours en 2021, et d'admettre que lorsque ses employeurs étaient à l'étranger, elle avait eu des vacances payées en Suisse. Quant à ses employeurs, ils ont invariablement déclaré que l'intéressée avait bénéficié de son droit aux vacances, à raison de 30 jours en 2019 et de " beaucoup de vacances " en 2020. Dans ce contexte, en l'absence d'éléments objectifs, les déclarations de la recourante ne suffisent pas, à elles-seules, à établir que son droit aux vacances n'aurait pas été respecté par ses employeurs, du moins pas – tel que retenu par le Ministère public – dans une mesure qui permettrait de sortir du cadre des compétences prudhommales pour entrer dans le champ du droit pénal. Quant à la condition de la gêne, de la dépendance ou de l'inexpérience, elle n'apparait pas davantage réalisée. La recourante a suivi ses employeurs en Suisse depuis l'Ouganda après avoir travaillé pour eux, en tant qu'employée de maison, pendant plusieurs années dans ce dernier pays et s'est vu proposer un contrat de travail validé par la Mission suisse, avec laquelle elle s'est ponctuellement entretenue, déclarant à cette institution que tout se passait bien avec ses employeurs. De plus, elle n'a jamais expliqué – ni démontré – en quoi sa situation nécessitait, impérieusement et sans autre alternative, d'être revenue en Suisse auprès des prévenus après qu'elle soit retournée dans son pays, notamment en août 2021. Selon ses propres déclarations, la recourante, après avoir travaillé une première fois pour les prévenus dans des conditions identiques, était retournée en vacances, en Ouganda, auprès de sa famille. Or, si le besoin de nourrir sa famille constituait vraisemblablement sa motivation première, sa liberté d'action dans ses démarches pour y parvenir n'apparaît pas avoir été poussée à des extrêmes l'obligeant, d'une part, à revenir en Suisse auprès du même employeur et, d'autre part, à accepter, y compris sur le long terme, des conditions de travail, selon elle, non conformes au droit – à plus forte raison si, comme elle le prétend, son salaire ne lui était pas versé et son droit aux vacances pas respecté –. À cela s'ajoute qu'elle était en possession de sa carte de légitimation durant l'entier de la période en cause et ne se trouvait donc pas en situation irrégulière dans ce pays, ce qui ne créait pas un lien de dépendance avec ses employeurs et démontrait qu'elle se trouvait en état de se déterminer librement, quand bien même son passeport échu, son passeport biométrique ainsi que sa carte G______ liée à son compte auprès de cette entité ont été produits par les intimés sur demande du Ministère public. Ainsi, les conditions constitutives des infractions d'usure et de traite d'êtres humains n'apparaissent pas réalisées. C'est donc à juste titre que l'autorité intimée a considéré que les prétentions de la recourante, en lien avec le versement de son salaire pour les premiers mois de 2019 et ses éventuelles vacances non prises, s'inscrivaient exclusivement dans le cadre d'un litige civil. 6.5.2. Aucune mesure d'instruction ne paraît, en outre, propre à apporter des éléments utiles à l'enquête. En particulier, tel que relevé par l'autorité intimée, les auditions de I______, P______ et " Mama Q______ ", témoins indirects, ne semblent pas susceptibles d'établir le déroulement des faits dénoncés, ceux-ci n'y ayant pas assisté. L'audition des enseignants des enfants des prévenus n'apporterait, en outre, aucun élément supplémentaire aux faits déjà établis, dès lors qu'il est notoire que les horaires des cours dans les écoles genevoises sont de 08h00 à 16h00. Enfin, la production de pièces justifiant les versements effectués en faveur de la famille de la recourante en guise de paiement de son salaire, ne permettrait pas d'établir davantage les faits, dès lors que plusieurs éléments au dossier attestent déjà du fait que les prévenus ont versé de l'argent directement à des tiers sur demande de la recourante et qu'ils ont indiqué ne pas disposer d'autres documents que ceux déjà produits. C'est donc à raison que le Ministère public a refusé les réquisitions de preuves déposées par la plaignante et a décidé de classer les faits visés par la présente procédure.</w:t>
      </w:r>
    </w:p>
    <w:p>
      <w:r>
        <w:rPr>
          <w:b/>
        </w:rPr>
        <w:t>E. 7</w:t>
      </w:r>
    </w:p>
    <w:p>
      <w:r>
        <w:t>Justifiée, l'ordonnance querellée sera donc confirmée.</w:t>
      </w:r>
    </w:p>
    <w:p>
      <w:r>
        <w:rPr>
          <w:b/>
        </w:rPr>
        <w:t>E. 8</w:t>
      </w:r>
    </w:p>
    <w:p>
      <w:r>
        <w:t>La recourante sollicite d'être mise au bénéfice de l'assistance judiciaire gratuite pour la procédure de recours (art. 136 al. 3 CPP).</w:t>
      </w:r>
    </w:p>
    <w:p>
      <w:r>
        <w:rPr>
          <w:b/>
        </w:rPr>
        <w:t>E. 8.1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8.2</w:t>
      </w:r>
    </w:p>
    <w:p>
      <w:r>
        <w:t>En l'occurrence, le recours était d'emblée voué à l'échec, pour les raisons exposées ci-dessus, de sorte que la recourante, même si elle était indigente, ne remplit pas les conditions à l'octroi de l'assistance judiciaire dans le cadre de son recours. Partant, sa demande d'assistance judiciaire gratuite doit être rejetée.</w:t>
      </w:r>
    </w:p>
    <w:p>
      <w:r>
        <w:rPr>
          <w:b/>
        </w:rPr>
        <w:t>E. 9</w:t>
      </w:r>
    </w:p>
    <w:p>
      <w:r>
        <w:t>La recourante, qui succombe, supportera les frais envers l'État, fixés en totalité à CHF 1'000.- (art. 428 al. 1 CPP et 13 al. 1 du Règlement fixant le tarif des frais en matière pénale, RTFMP ; E 4 10.03). Le rejet de la demande d’assistance judiciaire n'entraîne pas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