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P/2436/2018 vom 7. Februar 2019</w:t>
      </w:r>
    </w:p>
    <w:p>
      <w:r>
        <w:t>GE Cour de justice, 2019-02-07, FR</w:t>
      </w:r>
    </w:p>
    <w:p>
      <w:r>
        <w:rPr>
          <w:b/>
        </w:rPr>
        <w:t xml:space="preserve">Quelle: </w:t>
      </w:r>
      <w:r>
        <w:t>https://mcp.opencaselaw.ch/entscheid/ge_gerichte_P_2436_2018</w:t>
      </w:r>
    </w:p>
    <w:p>
      <w:r>
        <w:t>FR: GE_GERICHTE P/2436/2018 du 7 février 2019</w:t>
      </w:r>
    </w:p>
    <w:p>
      <w:r>
        <w:t>IT: GE_GERICHTE P/2436/2018 del 7 febbraio 2019</w:t>
      </w:r>
    </w:p>
    <w:p>
      <w:pPr>
        <w:pStyle w:val="Heading2"/>
      </w:pPr>
      <w:r>
        <w:t>Regeste</w:t>
      </w:r>
    </w:p>
    <w:p>
      <w:r>
        <w:t>LEX MITIOR ; FIXATION DE LA PEINE ; SÉJOUR ILLÉGAL | LEI.115.al1.letb; CP.2;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 6B_196/2012 du 24 janvier 2013 consid. 2.1 ; 6B_173/2013 du 19 août 2013 consid. 1.1 à 1.4). 2.1.3.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2.1.4.1.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L'on applique ainsi en principe la loi en vigueur au moment où l'acte a été commis (arrêt du Tribunal fédéral 6B_196/2012 du 24 janvier 2013, consid. 1.1.). L'art. 2 CP ne permet en revanche pas à l'auteur de bénéficier, le cas échéant, d'une loi plus favorable qui n'était pas en vigueur au moment où il a commis l'infraction et qui ne l'est plus au moment où il est mis en jugement. 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 en cas contraire, l'ancien droit reste seul applicable (ATF 114 IV 1 consid. 2a p. 4). 2.1.4.2.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En principe, une nouvelle jurisprudence doit s'appliquer immédiatement et aux affaires pendantes au moment où elle est adoptée. Le droit à la protection de la bonne foi, qui découle de l'art. 9 Constitution (RS 101),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et références citées). 2.1.5.1. Le 1er janvier 2018, sont entrées en vigueur des nouvelles dispositions sur le droit des sanctions. Selon l'art. 34 al. 1 aCP, sauf disposition contraire, la peine pécuniaire est de trois jours-amende au moins et ne peut excéder 360 jours-amende. Le juge fixe leur nombre en fonction de la culpabilité de l'auteur. Selon l'art. 34 al. 1 CP, sauf disposition contraire, la peine pécuniaire est de trois jours-amende au moins et ne peut excéder 180 jours-amende. Le juge fixe leur nombre en fonction de la culpabilité de l'auteur. 2.1.5.2. En matière de délit continu, la question du droit applicable se pose lorsque la loi change pendant l'exécution d'un tel délit.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Pour régler cette question, la doctrine largement majoritaire propose l'application du nouveau droit à l'ensemble du délit continu, soit également à la partie antérieure à l'entrée en vigueur de la nouvelle norme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 et les références citées ; AARP/314/2018 du 1er octobre 2018 consid. 2.2.2 ; AARP/378/2018 du 26 novembre 2018 consid. 5.3 ; JTDP/1392/2018 du 30 octobre 2018 consid. 3.1.1 ; M. DUPUIS / L. MOREILLON / C. PIGUET / S. BERGER / M. MAZOU / V. RODIGARI, Code pénal, Petit Commentaire, Bâle 2017, n. 19 ad art. 2 et les références citées).</w:t>
      </w:r>
    </w:p>
    <w:p>
      <w:r>
        <w:rPr>
          <w:b/>
        </w:rPr>
        <w:t>E. 2.2</w:t>
      </w:r>
    </w:p>
    <w:p>
      <w:r>
        <w:t>En l'espèce, il ne ressort pas du dossier que l'appelant a fait l'objet de mesures de renvoi menées jusqu'à leur terme. La nouvelle jurisprudence du Tribunal fédéral du 15 mai 2017 portant sur l'interprétation de la Directive sur le retour est applicable à compter de cette date aux affaires pendantes devant les juridictions compétentes, même si partie des faits incriminés se sont déroulés antérieurement. En effet, ce revirement de jurisprudence ne peut être assimilé à une modification de la loi pénale à laquelle le principe de non-rétroactivité s'appliquerait (art. 2 al. 1 CP). Par conséquent, la jurisprudence susmentionnée doit être prise en compte dans la présente procédure. Malgré le statut administratif de l'intimé, qui doit quitter la Suisse, et des peines privatives de liberté déjà prononcées contre lui, manifestement non dissuasives, seul le prononcé d'une peine pécuniaire reste envisageable compte tenu de la jurisprudence récente du Tribunal fédéral et nonobstant la peine menace de l'art. 115 al. 1 let. b LEtr (voir supra 2.1.3). Les faits reprochés au prévenu ont été commis antérieurement mais également postérieurement au 1er janvier 2018, date d'entrée en vigueur du nouveau droit des sanctions, étant rappelé que le séjour illégal est un délit continu. Au vu de la période pénale retenue par l'accusation, et conformément à la jurisprudence précitée, il convient, pour la peine pécuniaire à fixer, de faire exclusivement application du nouveau droit des sanctions, dans sa teneur à partir du 1er janvier 2018, sans que l'exception de la lex mitior ne doive être examinée. C'est donc à tort que le premier juge a considéré que l'ancien droit des sanctions était applicable au moment des faits. Cela étant, dans la mesure où in casu le genre de la peine est strictement limité à une peine pécuniaire, sous l'angle de la lex mitior si elle était applicable, il conviendrait également de faire application du nouveau droit des sanctions qui parait concrètement plus favorable au prévenu, dès lors que la limite supérieure de 360 jours-amende (art. 34 al. 1 aCP) a été réduite à 180 jours-amende (art. 34 al. 1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3.2. En l'espèce, l'appelant a déjà été condamné à cinq reprises pour séjour illégal depuis 2010 sans compter ses condamnations pour entrées illégales intervenues en 2009 déjà et, pour la dernière fois, en janvier 2017. Il a certes indiqué demander pardon mais l'on peut douter de la sincérité de son propos au vu de ses multiples antécédents qui ne l'ont pas conduit à modifier son comportement en conséquence. S'agissant de sa situation personnelle, s'il explique ne pas avoir de contact avec sa famille en Algérie, il ne dit pas non plus que ceux-ci ne seraient pas possibles, pas plus qu'il n'explique pour quelles raisons il ne pourrait retourner en Algérie, si ce n'est qu'il déclare s'y opposer, ce que corrobore l'indication de l'OCPM selon laquelle il ne collabore pas en vue d'un retour dans son pays d'origine. Si sa situation est ainsi difficile, vu son statut illégal, il apparaît en porter la responsabilité. Au vu des faits reprochés, sa collaboration à la procédure ne peut être considérée comme étant bonne au point d'être prise en compte dans la fixation de la peine, dès lors qu'il n'avait aucune marge de manœuvre étant connu des services de police. La période pénale, de près de deux ans, est particulièrement importante et témoigne tant de l'absence de sa prise de conscience que de sa persistance à contrevenir à la loi dans ce domaine. Aucun élément du dossier ne porte à considérer que, sans son interpellation, l'appelant aurait mis fin à son séjour illégal, son absence en audience de jugement n'étant pas déterminante à cet égard, étant relevé que s'il a indiqué devant le MP vouloir partir en Autriche étant au bénéfice de l'asile, son conseil a indiqué par la suite qu'il ne bénéficiait d'aucune autorisation de séjour dans ce pays. Tous les critères de fixation de la peine conduisent ainsi à prononcer une peine d'une sévérité certaine en rapport au maximum de la peine à prononcer. Dans cette mesure, la peine pécuniaire prononcée de 180 jours-amende, même s'il elle ressort à la peine maximale pouvant être prononcée, n'est pas excessive et sanctionne correctement le comportement de l'appelant. La quotité de CHF 10.- par unité de jour-amende n'est pas critiquable ni critiquée et correspond au minimum légal. L'appel sera ainsi rejeté et le jugement confirmé quant à la peine prononcée.</w:t>
      </w:r>
    </w:p>
    <w:p>
      <w:r>
        <w:rPr>
          <w:b/>
        </w:rPr>
        <w:t>E. 4</w:t>
      </w:r>
    </w:p>
    <w:p>
      <w:r>
        <w:t>L'appelant, qui succombe, supportera les frais de la procédure envers l'État, comprenant un émolument de CHF 1'500.- (art. 428 CPP et 14 al. 1 du Règlement fixant le tarif des frais en matière pénale du 22 décembre 2010 [RTFMP ; E 4 10.03]).</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5.1.2.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5.1.3.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En l'occurrence l'état de frais remis est conforme aux principes applicables. L'indemnité due à M e B______ sera arrêtée à CHF 387.70 correspondant à 1h30 d'activité au tarif de CHF 200.-/heure plus la majoration forfaitaire de 20 % et l'équivalent de la TVA au taux de 7,7% en CHF 27.70.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