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P/2426/2022 vom 26. September 2022</w:t>
      </w:r>
    </w:p>
    <w:p>
      <w:r>
        <w:t>GE Cour de justice, 2022-09-26, FR</w:t>
      </w:r>
    </w:p>
    <w:p>
      <w:r>
        <w:rPr>
          <w:b/>
        </w:rPr>
        <w:t xml:space="preserve">Quelle: </w:t>
      </w:r>
      <w:r>
        <w:t>https://mcp.opencaselaw.ch/entscheid/ge_gerichte_P_2426_2022</w:t>
      </w:r>
    </w:p>
    <w:p>
      <w:r>
        <w:t>FR: GE_GERICHTE P/2426/2022 du 26 septembre 2022</w:t>
      </w:r>
    </w:p>
    <w:p>
      <w:r>
        <w:t>IT: GE_GERICHTE P/2426/2022 del 26 settembre 2022</w:t>
      </w:r>
    </w:p>
    <w:p>
      <w:pPr>
        <w:pStyle w:val="Heading2"/>
      </w:pPr>
      <w:r>
        <w:t>Regeste</w:t>
      </w:r>
    </w:p>
    <w:p>
      <w:r>
        <w:t>ORDONNANCE DE NON-ENTRÉE EN MATIÈRE;CONTRAINTE(DROIT PÉNAL);FAUSSE DÉCLARATION D'UNE PARTIE EN JUSTICE;LÉSION CORPORELLE;DIFFAMATION;VIDÉOSURVEILLANCE;DOMMAGES À LA PROPRIÉTÉ(DROIT PÉNAL);BAIL À LOYER | CPP.310; CP.306; CP.181; CP.179quater; CP.173; CP.144; CP.123; CP.31</w:t>
      </w:r>
    </w:p>
    <w:p>
      <w:pPr>
        <w:pStyle w:val="Heading2"/>
      </w:pPr>
      <w:r>
        <w:t>Erwägungen</w:t>
      </w:r>
    </w:p>
    <w:p>
      <w:r>
        <w:rPr>
          <w:b/>
        </w:rPr>
        <w:t>E. 1.1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du plaignant qui, partie à la procédure (art. 104 al. 1 let. b CPP), a en principe qualité pour agir.![endif]&gt;![if&gt;</w:t>
      </w:r>
    </w:p>
    <w:p>
      <w:r>
        <w:rPr>
          <w:b/>
        </w:rPr>
        <w:t>E. 1.2</w:t>
      </w:r>
    </w:p>
    <w:p>
      <w:r>
        <w:t>Le complément de recours, expédié à la Chambre de céans le 8 octobre 2022, sera déclaré recevable, faute de connaître la date de notification de l'ordonnance querellée.</w:t>
      </w:r>
    </w:p>
    <w:p>
      <w:r>
        <w:rPr>
          <w:b/>
        </w:rPr>
        <w:t>E. 1.3</w:t>
      </w:r>
    </w:p>
    <w:p>
      <w:r>
        <w:t>Il convient d'examiner si le recourant dispose d'un intérêt juridiquement protégé à la modification ou à l'annulation de la décision querellée, en ce qu'elle concerne les infractions de fausse déclaration en justice (art. 306 CP) et de dommages à la propriété (art. 144 CP).</w:t>
      </w:r>
    </w:p>
    <w:p>
      <w:r>
        <w:rPr>
          <w:b/>
        </w:rPr>
        <w:t>E. 1.3.1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(Y. JEANNERET / A. KUHN / C. PERRIER DEPEURSINGE (éds), Commentaire romand : Code de procédure pénale suisse , 2 e éd., Bâle 2019, n. 2 ad art. 382). L'intérêt doit être juridique, direct, actuel et pratique, le but étant de permettre aux tribunaux de ne trancher que des questions concrètes et de ne pas prendre des décisions uniquement théoriques (ATF 137 I 296 consid. 4.2).</w:t>
      </w:r>
    </w:p>
    <w:p>
      <w:r>
        <w:rPr>
          <w:b/>
        </w:rPr>
        <w:t>E. 1.3.2</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 4 e éd., Zurich 2021, n. 1 ad art. 307; A. DONATSCH / W. WOHLERS, Strafrecht IV, Delikte gegen die Allgemeinheit , Zurich, 2004, p. 423; U. CASSANI, Commentaire du droit pénal suisse ,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 2 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1.3.3</w:t>
      </w:r>
    </w:p>
    <w:p>
      <w:r>
        <w:t>L'art. 144 CP tend, quant à lui, à préserver l'intégrité des choses mobilières ou immobilières qui font l'objet d'un droit de propriété, d'un droit d'usage ou d'usufruit (M. DUPUIS / L. MOREILLON / C. PIGUET / S. BERGER / M. MAZOU / V. RODIGARI (éd.), Code pénal, Petit commentaire , 2 e éd., Bâle 2017, n. 1 ad art. 144).</w:t>
      </w:r>
    </w:p>
    <w:p>
      <w:r>
        <w:rPr>
          <w:b/>
        </w:rPr>
        <w:t>E. 1.3.4</w:t>
      </w:r>
    </w:p>
    <w:p>
      <w:r>
        <w:t>En l'espèce, la procédure civile au cours de laquelle auraient été commises les fausses déclarations en justice alléguées n'est pas terminée. On ignore donc si les propos tenus par B______, fussent-ils faux au sens de la disposition précitée, auront une quelconque influence sur le jugement à venir. Le recourant ne peut dès lors être considéré, à ce stade, comme lésé par l'infraction dénoncée. Faute de qualité pour agir, son recours est irrecevable sur ce point.</w:t>
      </w:r>
    </w:p>
    <w:p>
      <w:r>
        <w:rPr>
          <w:b/>
        </w:rPr>
        <w:t>E. 1.3.5</w:t>
      </w:r>
    </w:p>
    <w:p>
      <w:r>
        <w:t>S'agissant de l'infraction de dommages à la propriété (art. 144 CP), le recourant n’a pas indiqué dans sa plainte du 31 janvier 2022 s’il agissait en son nom propre et/ou au nom de la société dont il est l’associé gérant avec signature individuelle, E______ Sàrl, seule signataire des baux litigieux en qualité de locataire. Ainsi, l'infraction dénoncée ne pourrait avoir lésé directement que la société elle-même, à l'exclusion du recourant, qui n'est pas l'ayant droit des locaux concernés. Cette question peut, quoi qu'il en soit demeurer indécise, au vu des considérations qui suivent.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1.5).![endif]&gt;![if&gt;</w:t>
      </w:r>
    </w:p>
    <w:p>
      <w:r>
        <w:rPr>
          <w:b/>
        </w:rPr>
        <w:t>E. 2.2.1</w:t>
      </w:r>
    </w:p>
    <w:p>
      <w:r>
        <w:t>L'art. 179 quater al. 1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celle-ci.![endif]&gt;![if&gt;</w:t>
      </w:r>
    </w:p>
    <w:p>
      <w:r>
        <w:rPr>
          <w:b/>
        </w:rPr>
        <w:t>E. 2.2.2</w:t>
      </w:r>
    </w:p>
    <w:p>
      <w:r>
        <w:t>Aux termes de l'art. 31 CP, le droit de porter plainte se prescrit par trois mois. Le délai court du jour où l'ayant droit a connu l'auteur de l'infraction.![endif]&gt;![if&gt;</w:t>
      </w:r>
    </w:p>
    <w:p>
      <w:r>
        <w:rPr>
          <w:b/>
        </w:rPr>
        <w:t>E. 2.2.3</w:t>
      </w:r>
    </w:p>
    <w:p>
      <w:r>
        <w:t>En l'occurrence, l'installation de caméras de vidéosurveillance par B______ a conduit au dépôt par le recourant d'une requête en validation de consignation de loyers, au mois de juin 2019, ainsi qu'à l'envoi d'une mise en demeure au mis en cause, le 2 octobre 2021. Il appert ainsi du dossier que le recourant avait connaissance du comportement reproché à B______ depuis à tout le moins juin 2019. Dans ces circonstances, le dépôt, le 31 janvier 2022, de la plainte pénale est tardif, s'agissant de l'infraction à l'art. 179 quater CP ; ce qui constitue un empêchement de procéder au sens de l'art. 310 al. 1 let. b CPP.![endif]&gt;![if&gt; Quoi qu'il en soit, les éléments constitutifs de l'infraction précitée n'étaient, en tout état, pas réalisés, dès lors que les lieux – extérieurs – où le recourant aurait été filmé – publiquement observables par tout un chacun –, ne relevaient pas de sa sphère intime ou privé. La décision de non-entrée en matière sera donc confirmée sur ce point, par substitution de motifs.</w:t>
      </w:r>
    </w:p>
    <w:p>
      <w:r>
        <w:rPr>
          <w:b/>
        </w:rPr>
        <w:t>E. 3</w:t>
      </w:r>
    </w:p>
    <w:p>
      <w:r>
        <w:t>Le recourant fait grief au Ministère public d'avoir refusé d'entrer en matière sur les faits visés par ses plaintes du 31 janvier 2022, potentiellement constitutifs d'infractions prévues aux art. 144 et 181 CP. ![endif]&gt;![if&gt;</w:t>
      </w:r>
    </w:p>
    <w:p>
      <w:r>
        <w:rPr>
          <w:b/>
        </w:rPr>
        <w:t>E. 3.1</w:t>
      </w:r>
    </w:p>
    <w:p>
      <w:r>
        <w:t>Se rend coupable de dommages à la propriété selon l'art. 144 CP celui qui aura endommagé, détruit ou mis hors d'usage une chose appartenant à autrui ou frappée d'un droit d'usage ou d'usufruit au bénéfice d'autrui.![endif]&gt;![if&gt; L'infraction peut être commise par le propriétaire lui-même, qui porterait atteinte au droit d'usage conféré à un tiers – tel que celui caractéristique d’un contrat de bail à loyer – (B. CORBOZ, Les infractions en droit suisse , vol. I , 3 e éd. 2010, n. 9 ad art. 144 CP; A. MACALUSO / L. MOREILLON / N. QUELOZ (éds), Commentaire romand, Code pénal II, vol. II, Partie spéciale : art. 111-392 CP, Bâle 2017, n. 4 ad art. 144 ) .</w:t>
      </w:r>
    </w:p>
    <w:p>
      <w:r>
        <w:rPr>
          <w:b/>
        </w:rPr>
        <w:t>E. 3.2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pécuniaire.![endif]&gt;![if&gt; Au-delà de l'usage de la violence ou de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Il n'est pas nécessaire que la liberté d'action de la victime soit supprimée, il suffit qu'elle soit restreinte (ATF 101 IV 167 consid. 2). Les moyens les plus fréquents cités sont la narcose, l'hypnotisme, l'alcool, l'éblouissement, l'esbroufe et l'intimidation (ATF 107 IV 113 consid. 3b). Lorsque la victime ne se laisse pas intimider et n'adopte pas le comportement voulu par l'auteur, ce dernier est punissable de tentative de contrainte (art. 22 al. 1 CP; ATF 129 IV 262 consid. 2.7 p. 270; 106 IV 125 consid. 2b p. 129).</w:t>
      </w:r>
    </w:p>
    <w:p>
      <w:r>
        <w:rPr>
          <w:b/>
        </w:rPr>
        <w:t>E. 3.3</w:t>
      </w:r>
    </w:p>
    <w:p>
      <w:r>
        <w:t>En l'espèce, la preuve d'un dommage n'a pas été apportée. En effet, le seul fait de couper l'approvisionnement en électricité n'est pas érigé en infraction propre (cf. arrêt de la Chambre des recours pénale du Tribunal cantonal vaudois PE11.019497 du 6 janvier 2012). Si le recourant affirme avoir été dans l'obligation de chercher des solutions – sans les spécifier – en vue de poursuivre son activité professionnelle, il ne soutient pas avoir été empêché de travailler ni avoir subi une quelconque perte financière par suite de la coupure d'électricité. Les conditions d’application de l'art. 144 al. 1 CP n'apparaissent, ainsi, pas réalisées.![endif]&gt;![if&gt; S'agissant de l'infraction de contrainte (art. 181 CP), les faits décrits par le recourant ne revêtent pas l'intensité requise en jurisprudence. Il ne fait état d'aucune violence ou menace concrète perpétrée, respectivement proférée à son encontre par B______. Il se limite en effet à affirmer que ce dernier, malgré l'absence d'alimentation électrique, aurait continué à encaisser les loyers du garage et lui aurait interdit l'accès au tableau électrique, situé dans le local occupé par un autre locataire ; ce qui, au demeurant, est contesté par le mis en cause. Le recourant n'explique pas quel acte B______ l'aurait contraint à faire, ne pas faire ou subir, étant observé que le contrat de bail a été résilié par le mis en cause le 29 septembre 2020, soit plus de sept mois après les faits, de sorte qu'il n'était pas encore question à cette époque que le recourant quitte les locaux litigieux. Compte tenu de ce qui précède, c'est à bon droit que le Ministère public a considéré que les éléments constitutifs des infractions de dommages à la propriété (art. 144 CP) et de contrainte (art. 181 CP) n'étaient pas réalisés. Les auditions sollicitées par le recourant ne sont pas propres à modifier ce raisonnement. En définitive, les questions relatives aux contrats de bail conclus entre les parties et à un prétendu défaut de la chose louée relèvent exclusivement des juridictions civiles, d'ailleurs dûment saisies. La non-entrée en matière se justifiait dès lors pour ce motif également.</w:t>
      </w:r>
    </w:p>
    <w:p>
      <w:r>
        <w:rPr>
          <w:b/>
        </w:rPr>
        <w:t>E. 4</w:t>
      </w:r>
    </w:p>
    <w:p>
      <w:r>
        <w:t>Le recourant fait grief au Ministère public d'avoir refusé d'entrer en matière sur sa plainte du 14 mars 2022. ![endif]&gt;![if&gt;</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plus récemment, arrêt du Tribunal fédéral 6B_1283/2018 du 14 février 2019 consid. 2.1).![endif]&gt;![if&gt;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qu’une meurtrissure au bras et une douleur à la mâchoire sans contusion (ATF 134 IV 189 consid. 1.3 p. 191).</w:t>
      </w:r>
    </w:p>
    <w:p>
      <w:r>
        <w:rPr>
          <w:b/>
        </w:rPr>
        <w:t>E. 4.2</w:t>
      </w:r>
    </w:p>
    <w:p>
      <w:r>
        <w:t>Le comportement de l'auteur de l'infraction doit être la cause naturelle et adéquate des lésions corporelles simples subies par la victime (B. CORBOZ, Les infractions en droit suisse , vol. I , 3 e éd., Berne 2010, n. 16 ad art. 123 CP). L'infraction est intentionnelle, cette intention devant porter sur tous les éléments constitutifs de l'infraction, mais le dol éventuel est suffisant (ATF 119 IV 1 consid. 5a; ATF 103 IV 65 consid. 1.2).![endif]&gt;![if&gt;</w:t>
      </w:r>
    </w:p>
    <w:p>
      <w:r>
        <w:rPr>
          <w:b/>
        </w:rPr>
        <w:t>E. 4.3</w:t>
      </w:r>
    </w:p>
    <w:p>
      <w:r>
        <w:t>En l'occurrence, les parties ont fourni des versions contradictoires. Le recourant allègue avoir été, le 11 février 2022, violemment percuté par la porte arrière de son garage, laquelle aurait préalablement été heurtée par une benne en cours d'installation par D______, sur ordre de B______. Ces derniers contestent ces accusations, affirmant de manière concordante que la benne n'avait touché ni la porte du local ni le recourant, qui moins est intentionnellement. À cet égard, B______ a nié avoir donné des instructions à D______ visant à porter atteinte à l'intégrité physique du recourant, précisant que la benne avait été installée sur un terrain dont il était propriétaire, mais dont le recourant n'avait pas la jouissance, et cela, dans l'unique but de pouvoir débarrasser d’objets encombrants. Quant à D______, il a expliqué avoir déposé la benne à environ 1.5 mètres de la porte du local, alors ouverte, après s'être assuré qu'aucune personne ne se trouvait à proximité. Il a ajouté que la vitesse de guidage était " très lente ", dans le but d'éviter une fausse manœuvre. ![endif]&gt;![if&gt; Ces déclarations sont corroborées, d'une part, par M______, qui a déclaré que la benne n'avait heurté ni la porte du local ni le recourant et, d'autre part, par les photographies versées à la procédure, sur lesquelles on distingue ladite benne, posée à environ un mètre de distance de la porte, mais sans en obstruer l'ouverture ou la fermeture. Ainsi, hormis les déclarations du recourant, le dossier ne recèle aucun indice concret et concluant venant étayer les agissements dénoncés. Le recourant a, certes, produit deux attestations médicales, faisant notamment état de contusions à la cage thoracique, d'éraflures sur la main droite, d'une tuméfaction de la pommette droite et d'une blessure superficielle à la racine du nez. Cela étant, rien ne permet d'attribuer ces blessures aux mis en cause, par une manœuvre intentionnelle lors de la dépose de la benne sur la parcelle. Aussi, M______ a expliqué avoir observé le recourant repousser d'une main la benne, laquelle pèserait, d'après D______, près de 500 kilos. Dans ces circonstances, il n'apparaît pas exclu que le recourant se soit blessé lui-même, en particulier à la main, en effectuant ce mouvement. Ainsi, l'existence d'un lien de causalité entre, d'une part, les agissements intentionnels imputés aux mis en cause et, d'autre part, les blessures et douleurs dont aurait été victime le recourant, n'est pas démontrée. En l'absence d'autre preuve, les probabilités d'acquittement des mis en cause paraissent nettement plus élevées que celles d'une condamnation. Les mesures d'instruction sollicitées par le recourant ne sont pas propres à modifier ce constat. Notamment, rien n'indique qu'une confrontation des protagonistes permettrait de départager les versions, car tout laisse à penser que chacun maintiendrait sa version. Le recourant sollicite, certes, l'audition de trois personnes, citées pour la première fois. Il ne ressort toutefois d'aucune déclaration des protagonistes que d'autres personnes auraient été témoins des faits litigieux. Le recourant ne le soutient du reste pas. Il s'ensuit que les mesures d'instruction sollicitées n'apparaissent pas pertinentes. Partant, l'ordonnance querellée ne prête pas le flanc à la critique et sera confirmée sur ce point.</w:t>
      </w:r>
    </w:p>
    <w:p>
      <w:r>
        <w:rPr>
          <w:b/>
        </w:rPr>
        <w:t>E. 5</w:t>
      </w:r>
    </w:p>
    <w:p>
      <w:r>
        <w:t>Le recourant reproche enfin au Ministère public de ne pas être entré en matière sur sa plainte du 19 mars 2022. ![endif]&gt;![if&gt;</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soupçon.![endif]&gt;![if&gt;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il faut que l'auteur s'adresse à un tiers. Est en principe considérée comme tiers toute personne autre que l'auteur et l'objet des propos qui portent atteinte à l'honneur, par exemple un avocat ou un magistrat (ATF 86 IV 209 ).</w:t>
      </w:r>
    </w:p>
    <w:p>
      <w:r>
        <w:rPr>
          <w:b/>
        </w:rPr>
        <w:t>E. 5.2</w:t>
      </w:r>
    </w:p>
    <w:p>
      <w:r>
        <w:t>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3.4).![endif]&gt;![if&gt;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5.3</w:t>
      </w:r>
    </w:p>
    <w:p>
      <w:r>
        <w:t>En l'espèce, B______ reconnaît avoir accusé le recourant, lors de l'audience du 2 mars 2022 par-devant la CCBL, d'avoir imité la signature de G______ sur le contrat de bail du 18 décembre 2015. ![endif]&gt;![if&gt; Dans la mesure où le mis en cause a décrit le recourant comme l'auteur d'un faux, ces propos pourraient a priori être de nature à jeter sur ce dernier le soupçon d'une conduite contraire à l'honneur et porter atteinte à sa considération au sens de l'art. 173 CP. Cela étant, B______ a expliqué détenir une attestation sur l'honneur, signée par G______ le 2 novembre 2021, aux termes de laquelle ce dernier affirmerait ne pas être l'auteur de la signature apposée sur le contrat de bail litigieux. Dans ces circonstances, les déclarations dénoncées semblent avoir été articulées de bonne foi par le mis en cause, qui avait des raisons sérieuses de les tenir pour vraies (art. 173 ch. 2 CP), étant précisé que le recourant admet l'existence de l’attestation. Par ailleurs, replacés dans leur contexte, les propos litigieux paraissent justifiés par le devoir procédural d'alléguer les faits. Il résulte du dossier que les parties s'opposent actuellement dans le cadre d'un litige civil, portant sur la résiliation du bail concerné. Le mis en cause, qui affirme que ledit contrat aurait été conclu à son insu, pouvait ainsi considérer que ses allégations étaient nécessaires et pertinentes pour défendre sa cause. Au surplus, l'accusation d'imitation de signature a été tenue uniquement dans le cadre d'une procédure civile, devant des personnes informées et conscientes des circonstances particulières dans lesquelles les allégations étaient formulées, et soumises par surcroît à une obligation de secret professionnel. Ainsi, on peut retenir que les déclarations litigieuses du mis en cause pouvaient encore entrer dans le cadre d’allégations en justice, proportionnées au but poursuivi, sans excéder la mesure admissible (14 CP). C'est donc à bon droit que le Ministère public a décidé de ne pas entrer en matière sur également ces faits. Une expertise graphologique de la signature apposée sur le contrat de bail concerné ne serait pas de nature à modifier les conclusions qui précèdent, puisque, même dans l'hypothèse où G______ serait effectivement le signataire du bail, on ne pourrait pas encore en conclure que les propos tenus par B______ ne l'avaient pas été de bonne foi ou auraient excédé ce qui était nécessaire et pertinent à la défense de ses intérêts.</w:t>
      </w:r>
    </w:p>
    <w:p>
      <w:r>
        <w:rPr>
          <w:b/>
        </w:rPr>
        <w:t>E. 6</w:t>
      </w:r>
    </w:p>
    <w:p>
      <w:r>
        <w:t>Justifiée, l'ordonnance querellée sera donc confirmée, par substitution de motifs. ![endif]&gt;![if&gt;</w:t>
      </w:r>
    </w:p>
    <w:p>
      <w:r>
        <w:rPr>
          <w:b/>
        </w:rPr>
        <w:t>E. 7</w:t>
      </w:r>
    </w:p>
    <w:p>
      <w:r>
        <w:t>Le recourant, qui succombe, supportera les frais envers l'État, qui seront fixés en totalité à CHF 1'200.-, au vu de la profusion des griefs à traiter et du temps qui y a dû y être consacré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