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P/24217/2021 vom 18. Juli 2023</w:t>
      </w:r>
    </w:p>
    <w:p>
      <w:r>
        <w:t>GE Cour de justice, 2023-07-18, FR</w:t>
      </w:r>
    </w:p>
    <w:p>
      <w:r>
        <w:rPr>
          <w:b/>
        </w:rPr>
        <w:t xml:space="preserve">Quelle: </w:t>
      </w:r>
      <w:r>
        <w:t>https://mcp.opencaselaw.ch/entscheid/ge_gerichte_P_24217_2021</w:t>
      </w:r>
    </w:p>
    <w:p>
      <w:r>
        <w:t>FR: GE_GERICHTE P/24217/2021 du 18 juillet 2023</w:t>
      </w:r>
    </w:p>
    <w:p>
      <w:r>
        <w:t>IT: GE_GERICHTE P/24217/2021 del 18 luglio 2023</w:t>
      </w:r>
    </w:p>
    <w:p>
      <w:pPr>
        <w:pStyle w:val="Heading2"/>
      </w:pPr>
      <w:r>
        <w:t>Regeste</w:t>
      </w:r>
    </w:p>
    <w:p>
      <w:r>
        <w:t>ORDONNANCE DE NON-ENTRÉE EN MATIÈRE;CONTRAINTE(DROIT PÉNAL);COMMANDEMENT DE PAYER | CPP.310; CP.181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se plaint d'une constatation incomplète/erronée des faits par le Ministère public (art. 393 al. 2 let. b CPP).![endif]&gt;![if&gt; Comme la juridiction de céans dispose d'un plein pouvoir de cognition (art. 393 al. 2 CPP; arrêt du Tribunal fédéral 1B_139/2022 du 2 mai 2022 consid. 2.2), les éventuelles lacunes/inexactitudes entachant l’ordonnance querellée auront été corrigées dans l'état de fait établi ci-avant. Le grief sera donc rejeté.</w:t>
      </w:r>
    </w:p>
    <w:p>
      <w:r>
        <w:rPr>
          <w:b/>
        </w:rPr>
        <w:t>E. 3</w:t>
      </w:r>
    </w:p>
    <w:p>
      <w:r>
        <w:t>Le recourant se plaint d'une violation de son droit d'être entendu, dès lors qu'il n'a pas participé à l'audition du mis en cause par la police, avant que le Ministère public ne rende l'ordonnance querellée.![endif]&gt;![if&gt;</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140 I 285 consid. 6.3.1 p. 299).</w:t>
      </w:r>
    </w:p>
    <w:p>
      <w:r>
        <w:rPr>
          <w:b/>
        </w:rPr>
        <w:t>E. 3.2</w:t>
      </w:r>
    </w:p>
    <w:p>
      <w:r>
        <w:t>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 ACPR/305/2021 du 7 mai 2021 consid. 2.2).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de nature formel et matériel (arrêt du Tribunal fédéral 6B_854/2018 du 23 octobre 2018 consid. 3.1 et les références citées).</w:t>
      </w:r>
    </w:p>
    <w:p>
      <w:r>
        <w:rPr>
          <w:b/>
        </w:rPr>
        <w:t>E. 3.3</w:t>
      </w:r>
    </w:p>
    <w:p>
      <w:r>
        <w:t>En l'espèce, après avoir donné suite à la demande de l'autorité vaudoise de traiter la procédure, le Ministère public n'a entrepris aucun acte d'instruction avant de recevoir la plainte complémentaire du recourant. Il a ensuite transmis le dossier à la police pour entendre le mis en cause une première fois sur les faits dénoncés, ce qui ne nécessite pas encore l'ouverture d'une instruction. Ainsi, cette audition a été sollicitée en application de l'art. 309 al. 2 CPP et effectuée dans le cadre des investigations policières. Par conséquent, le droit de participer à l'administration des preuves n'avait pas vocation à s'appliquer durant cette phase préalable, de sorte que le recourant n'avait pas à être informé de cette audition, ni même à y participer. Mal fondé, ce grief doit également être écarté.</w:t>
      </w:r>
    </w:p>
    <w:p>
      <w:r>
        <w:rPr>
          <w:b/>
        </w:rPr>
        <w:t>E. 4.1</w:t>
      </w:r>
    </w:p>
    <w:p>
      <w:r>
        <w:t>Selon l’art. 310 al. 1 let. a CPP, le ministère public rend immédiatement une ordonnance de non-entrée en matière s'il ressort de la dénonciation que les éléments constitutifs d’une infraction ne sont manifestement pas réunis.![endif]&gt;![if&gt; Cette disposition s’interprète à la lumière du principe in dubio pro duriore , selon lequel le procureur ne peut clore une procédure que quand il apparaît clairement que les faits ne sont pas punissables. Ce magistrat et la juridiction de recours disposent, à cet égard, d'un pouvoir d'appréciation (arrêt du Tribunal fédéral 6B_1177/2022 du 21 février 2023 consid. 2.1).</w:t>
      </w:r>
    </w:p>
    <w:p>
      <w:r>
        <w:rPr>
          <w:b/>
        </w:rPr>
        <w:t>E. 4.2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137 IV 326 consid. 3.3.1 p. 328; 134 IV 216 consid. 4.1 p. 218).</w:t>
      </w:r>
    </w:p>
    <w:p>
      <w:r>
        <w:rPr>
          <w:b/>
        </w:rPr>
        <w:t>E. 4.3</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du Tribunal fédéral 6B_614/2021 du 20 avril 2022 consid. 7.2). Un acte de contrainte – ou de tentative de contrainte – peut éventuellement être réalisé au travers de la notification d'un commandement de payer si celui-ci est illicite en soi. Tel sera le cas lorsque le soi-disant créancier n'est pas fondé à réclamer la somme objet de la poursuite ou encore lorsque le commandement de payer repose sur un document faux ou falsifié (arrêts du Tribunal fédéral 6B_281/2013 du 16 juillet 2013 consid. 1.1.2 et 6B_447/2014 du 30 octobre 2014 consid. 2.2). Toujours du point de vue de l'illicéité intrinsèque du commandement de payer, peut également réaliser l'infraction de contrainte le fait d'en faire notifier plusieurs fondés sur une même cause ou encore pour des montants fantaisistes (A. MACALUSO, Les actes de poursuite selon la LP peuvent-ils être constitutifs d'une contrainte pénale?, in: JdT 2019 II 89, p. 95). L'infraction de contrainte peut également être réalisée si le commandement de payer est en soi licite, car il repose sur une cause fondée, des documents véridiques et concerne un montant proportionné, mais constitue néanmoins, dans les circonstances de l'espèce, un moyen de pression abusif (ATF 115 III 18 consid. 3 p. 21 s., arrêt du Tribunal fédéral 6B_1396/2021 du 28 juin 2022 consid. 3.1, A. MACALUSO, ibid. ). Le fondement de la créance invoquée, le montant indiqué sur le commandement de payer et le contexte de sa notification sont autant d'éléments pertinents dans l'appréciation des circonstances du cas d'espèce. S'agissant du fondement de la créance déduite en poursuite, il suffit que la situation juridique ne soit pas d'une clarté indiscutable pour admettre la licéité, sous l'angle de l'infraction de contrainte, du commandement de payer (R. JORDAN, Les poursuites injustifiées: point de situation , in Revue de l'avocat 2017 p. 131 s. et les arrêts cités).</w:t>
      </w:r>
    </w:p>
    <w:p>
      <w:r>
        <w:rPr>
          <w:b/>
        </w:rPr>
        <w:t>E. 4.4</w:t>
      </w:r>
    </w:p>
    <w:p>
      <w:r>
        <w:t>En l'espèce, les commandements de payer notifiés au recourant ont pour objet les contrats de prêt pour lesquels celui-ci ne conteste pas revêtir, à titre personnel, la qualité d'emprunteur. Pour tous ces contrats, l'échéance de remboursement était dépassée, si bien que les créances y relatives semblent exigibles, nonobstant des éventuelles questions de prescription, le recourant ne prétendant, en outre, pas le contraire. Si deux réquisitions de poursuite ont été établies pour la créance découlant du contrat de prêt du 20 octobre 2009, une seule apparaît sur l'extrait du registre des poursuites du recourant, ce qui laisse penser que l'autre, portant sur un montant total moindre, a été abandonnée en faveur de la première citée. Par ailleurs, si les poursuites découlant des deux autres contrats de prêt ont été réitérées, c'est en raison de l'échec, pour cause d'irrecevabilité, des premières démarches en exécution forcée. Si bien que le deuxième commandement de payer a été guidé par des exigences formelles, comme l'a expliqué le mis en cause. Au bout du compte, même si le recourant invoque quatre poursuites et " un montant total supérieur au triple de la créance initiale totale ", son extrait du registre topique n'en retient que deux, formées par les titulaires des créances, pour des sommes qui correspondent à la valeur des prêts à rembourser, en francs suisses et intérêts en sus. En résumé, les commandements de payer n'apparaissent pas illicites en soi. Les circonstances de leur envoi ne permettent pas non plus de retenir qu'ils seraient abusifs. Les poursuites concernées ont fait l'objet de procédures en mainlevée des oppositions formées par le recourant. Celles portant sur le contrat de prêt du 20 octobre 2009 ont même mené à une saisie provisoire. Si l'intéressé invoque des représailles, force est de constater que deux ans se sont écoulés entre la résiliation du mandat, supposée élément déclencheur, et la notification du premier commandement de payer. Dans l'intervalle, une convention en faveur de la société administrée par le mis en cause a été signée pour solde de tout compte. Quant à la demande en paiement intentée contre lui le 15 janvier 2021, elle est postérieure aux deux premiers commandements de payer notifiés au recourant et ne saurait donc en être la cause. Compte tenu de ce qui précède, les éléments constitutifs de la contrainte ne sont pas réunis.</w:t>
      </w:r>
    </w:p>
    <w:p>
      <w:r>
        <w:rPr>
          <w:b/>
        </w:rPr>
        <w:t>E. 5</w:t>
      </w:r>
    </w:p>
    <w:p>
      <w:r>
        <w:t>Justifiée, l'ordonnance querellée sera donc confirmée. ![endif]&gt;![if&gt;</w:t>
      </w:r>
    </w:p>
    <w:p>
      <w:r>
        <w:rPr>
          <w:b/>
        </w:rPr>
        <w:t>E. 6</w:t>
      </w:r>
    </w:p>
    <w:p>
      <w:r>
        <w:t>Le recourant, qui succombe, supportera les frais envers l'État, fixés en intégralité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