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P/24210/2019 vom 26. November 2024</w:t>
      </w:r>
    </w:p>
    <w:p>
      <w:r>
        <w:t>GE Cour de justice, 2024-11-26, FR</w:t>
      </w:r>
    </w:p>
    <w:p>
      <w:r>
        <w:rPr>
          <w:b/>
        </w:rPr>
        <w:t xml:space="preserve">Quelle: </w:t>
      </w:r>
      <w:r>
        <w:t>https://mcp.opencaselaw.ch/entscheid/ge_gerichte_P_24210_2019</w:t>
      </w:r>
    </w:p>
    <w:p>
      <w:r>
        <w:t>FR: GE_GERICHTE P/24210/2019 du 26 novembre 2024</w:t>
      </w:r>
    </w:p>
    <w:p>
      <w:r>
        <w:t>IT: GE_GERICHTE P/24210/2019 del 26 novembre 2024</w:t>
      </w:r>
    </w:p>
    <w:p>
      <w:pPr>
        <w:pStyle w:val="Heading2"/>
      </w:pPr>
      <w:r>
        <w:t>Regeste</w:t>
      </w:r>
    </w:p>
    <w:p>
      <w:r>
        <w:t>INJURE;IN DUBIO PRO REO;ACQUITTEMENT;INDEMNITÉ(EN GÉNÉRAL);DÉPENS;HONORAIRES | CP.177.al1; CPP.429.al1.leta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2.2</w:t>
      </w:r>
    </w:p>
    <w:p>
      <w:r>
        <w:t>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p. 79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2.3</w:t>
      </w:r>
    </w:p>
    <w:p>
      <w:r>
        <w:t>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Rien ne s'oppose à ce que le juge ne retienne qu'une partie des déclarations d'un témoin globalement crédible (ATF 120 Ia 31 consid. 3 ; arrêt du Tribunal fédéral 6B_637/2012 du 21 janvier 2013 consid. 5.4).</w:t>
      </w:r>
    </w:p>
    <w:p>
      <w:r>
        <w:rPr>
          <w:b/>
        </w:rPr>
        <w:t>E. 3</w:t>
      </w:r>
    </w:p>
    <w:p>
      <w:r>
        <w:t>3.1. Se rend coupable d'injure quiconque aura, par la parole, l'écriture, l'image, le geste ou par des voies de fait, attaqué autrui dans son honneur (art. 177 al. 1 CP).</w:t>
      </w:r>
    </w:p>
    <w:p>
      <w:r>
        <w:rPr>
          <w:b/>
        </w:rPr>
        <w:t>E. 3.2</w:t>
      </w:r>
    </w:p>
    <w:p>
      <w:r>
        <w:t>En l'espèce, il est établi par un élément objectif au dossier – le listing du bouton d'urgence – et par les déclarations des parties que le 18 novembre 2019, l'intimée est intervenue avec d'autres collègues dans la cellule de la plaignante à 22h22, à la suite du déclenchement d'une alarme incendie, puis quelques minutes plus tard – soit à 22h26 – en raison d'un appel détenu. Les versions concernant le déroulement des interventions divergent. Selon la plaignante, qui a été constante dans ses déclarations, l'intimée aurait eu un comportement colérique et des paroles vulgaires lors de l'intervention incendie et l'aurait insultée lors de celle pour appel détenu, faits que l'intimée conteste. Contrairement à ce qu'argue le MP, il ne peut être retenu que les faits décrits par la plaignante sont corroborés par les témoignages de trois de ses quatre codétenues : Le témoignage de D______ est assez succinct dans la mesure où elle ne fait aucune mention des autres évènements qui se sont déroulés ce soir-là, telle l'intervention suite à l'alarme incendie. Elle ne se souvient que de l'emploi du terme " connasse ", sans autres détails, notamment le comportement et le ton employé par l'intimée. En outre, D______ a spontanément indiqué que cette dernière était " mauvaise " et se comportait mal avec les détenus, ce qui tend à corroborer les dires de l'intimée, à savoir que son témoignage est biaisé par un différend entre elles deux. G______ mentionne quant à elle l'intervention suite à l'alarme incendie, déclenchée par une douche qu'elle prenait à ce moment-là, mais explique que l'intimée était calme et n'avait pas crié lorsqu'elle avait insulté la plaignante de " connasse ", étant précisé qu'elle n'a pas entendu le reste de la conversation entre les deux. On relèvera que la plaignante décrit au contraire l'intimée comme très énervée au moment des faits. F______ explique également que la gardienne a crié en insultant la plaignante et a claqué le portillon en sortant. Son témoignage est plus complet puisqu'elle relate l'épisode de l'alarme incendie, mais également, elle confirme les dires de la plaignante concernant le premier appel détenu lors duquel cette dernière aurait déjà demandé des médicaments à l'intimée. Toutefois, ce premier appel ne ressort pas du listing des appels produit. La Cour ne saurait suivre le MP lorsqu'il indique que l'alarme détenu aurait pu avoir lieu avant 19h00 – F______ situant l'appel vers 18h30 – puisque, comme le relève à juste titre l'intimée, celle-ci a pris son service de nuit à 19h15 : elle n'aurait ainsi pas pu répondre à un appel antérieur, alors que la plaignante et sa codétenue indiquent avec certitude que l'intimée en personne a répondu au premier appel. Ainsi, les déclarations de F______ perdent en crédibilité, étant précisé qu'elle indique être restée en contact avec la plaignante avec laquelle elle a évoqué la procédure suite à la convocation au MP. Il doit également être tenu compte du fait que la plaignante a rédigé la plainte pénale dans sa cellule et, si elle indique l'avoir fait seule, comme le soulève le MP, elle l'a toutefois lue à ses codétenues avant de l'envoyer, si bien qu'il est soutenable, tel que le plaide l'intimée, d'imaginer que ces dernières aient été influencées et aient en particulier retenu le terme " connasse ", sans pour autant se souvenir des autres détails périphériques, à l'exclusion de H______, laquelle ne parlant pas français n'a pas pu lire la plainte. Cette dernière a d'ailleurs expliqué ne pas se souvenir des faits reprochés et que les gardiens de prison étaient gentils et respectueux. Les déclarations de l'intimée, constantes durant toute la procédure, sont corroborées par les propos de l'agent de détention E______ qui l'accompagnait lors de son intervention dans la cellule suite à l'appel détenu. Bien que ne se souvenant pas en particulier de l'intervention en question et de la discussion qui a eu lieu, il ne lui semble pas avoir entendu des insultes ou le ton monter. Ainsi, le premier appel détenu au cours duquel la plaignante aurait demandé une première fois des médicaments à l'intimée ne ressort d'aucun élément objectif au dossier et n'est corroboré que par les déclarations de F______, dont la crédibilité est ainsi mise en doute. Concernant le déroulé du reste de la soirée, et en particulier de l'intervention de l'intimée suite à l'appel détenu de 22h26, les déclarations des divers témoins ne permettent pas de retenir une version plus que l'autre. Au vu des considérations qui précèdent, il subsiste un doute sérieux et insurmontable quant à l'existence de l'insulte alléguée qui, en application du principe in dubio pro reo, doit profiter à l'intimée, qui sera acquittée de l'infraction d'injure au sens de l'art. 177 al. 1 CP.</w:t>
      </w:r>
    </w:p>
    <w:p>
      <w:r>
        <w:rPr>
          <w:b/>
        </w:rPr>
        <w:t>E. 4</w:t>
      </w:r>
    </w:p>
    <w:p>
      <w:r>
        <w:t>4.1. En appel, l'appelant succombe sur la culpabilité, mais obtient partiellement gain de cause sur les indemnités allouées à l'appelante jointe, qui succombe intégralement (cf. infra consid. 5.2 pour la question de l'indemnisation). Le travail engendré par l'examen des griefs de cette dernière s'est révélé important. Ainsi, le quart des frais de la procédure d'appel sera mis à sa charge, le solde étant laissé à la charge de l'État vu la qualité de l'appelant (art. 428 al. 1 CPP).</w:t>
      </w:r>
    </w:p>
    <w:p>
      <w:r>
        <w:rPr>
          <w:b/>
        </w:rPr>
        <w:t>E. 4.2</w:t>
      </w:r>
    </w:p>
    <w:p>
      <w:r>
        <w:t>Vu l'issue de la procédure, la répartition des frais de la procédure préliminaire et de première instance ne sera pas revue (art. 428 al. 3 CPP).</w:t>
      </w:r>
    </w:p>
    <w:p>
      <w:r>
        <w:rPr>
          <w:b/>
        </w:rPr>
        <w:t>E. 5</w:t>
      </w:r>
    </w:p>
    <w:p>
      <w:r>
        <w:t>5.1. À teneur de l'art. 429 al. 1 CPP, le prévenu a droit, s'il bénéficie d'une ordonnance de classement, à une indemnité pour les dépenses occasionnées par l'exercice raisonnable de ses droits de procédure (let. a). Cette disposition fonde un droit à des dommages et intérêts et à une réparation du tort moral dans le sens d'une responsabilité causale. Le mode et l'étendue de l'indemnisation fondée sur les articles 429 ss CPP peuvent être déterminés en s'inspirant des règles générales des articles 41 ss CO (ATF 142 IV 245 consid. 4.1 ; arrêts du Tribunal fédéral 6B_1015/2016 du 27 octobre 2017 consid. 7.1.1 ; 6B_976/2016 du 12 octobre 2017 consid. 3.4.2 ; Y. JEANNERET / A. KUHN / C. PERRIER DEPEURSINGE (éds), Commentaire romand : Code de procédure pénale suisse, 2e éd., Bâle 2019, n. 20 ad art. 429). L'État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 Il s'agit d'une responsabilité causale de l'État (M. NIGGLI / M. HEER / H. WIPRÄCHTIGER (éds), Strafprozessordnung / Jugendstrafprozessordnung, Basler Kommentar StPO/JStPO, 2e éd., Bâle 2014, n. 6 ad art. 429 CPP). L'indemnité est aussi due lorsque les frais de défense sont assumés par un tiers, qu'il s'agisse d'une assurance de protection juridique, d'un syndicat, d'un employeur ou de tout autre intervenant (ATF 142 IV IV 42 ; arrêt du Tribunal fédéral 6B_816/2013 du 22 janvier 2014 consid. 3.2.4 et les jurisprudences citées). En revanche, s'agissant d'une indemnisation purement causale, elle ne saurait dédommager le prévenu acquitté au-delà des frais effectivement encourus, étant relevé que le montant des honoraires d'avocat peut par ailleurs être limité par un tarif ou la pratique de la juridiction concernée, sans qu'une convention contraire entre le prévenu et son conseil ne soit opposable à l'Etat (ATF 142 IV 163 consid. 3.1.2).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(arrêt du Tribunal fédéral 6B_528/2010 du 16 septembre 2010 consid. 2.1, cité in M. NIGGLI/ M. HEER/ H. WIPRÄCHTIGER (éds), op.cit., n. 19a ad art. 429 CPP). À Genève, la Cour de justice applique aux avocats chefs d’étude un tarif horaire de CHF 400.- à CHF 450.- et aux stagiaires un tarif horaire de CHF 150.-. Le temps consacré aux déplacements ne doit pas être taxé de la même manière que le temps consacré à l'étude du dossier (cf. ATF 142 IV 163 consid. 3.1.3; arrêts du Tribunal fédéral 7B_35/2022 du 22 février 2024 consid. 5.4.2 ; 6B_380/2021 du 21 juin 2022 consid. 2.3.2). Le tarif appliqué sera réduit de moitié, l'avocat pouvant mettre utilement ce temps à profit pour travailler (ordonnance de la Cour des plaintes BB.2015.44 du 27 octobre 2015 consid. 3.2.4 ; AARP/298/2014 du 27 juin 2014). La question de l'indemnisation du prévenu (art. 429 CPP) doit être traitée en relation avec celle des frais (ATF 137 IV 352 consid. 2.4.2 ; arrêts du Tribunal fédéral 6B_385/2017 du 5 décembre 2017 consid. 2.1 ; 6B_620/2016 du 17 mai 2017 consid. 2.2.2 ; 6B_792/2016 du 18 avril 2017 consid. 3.3).</w:t>
      </w:r>
    </w:p>
    <w:p>
      <w:r>
        <w:rPr>
          <w:b/>
        </w:rPr>
        <w:t>E. 5.2</w:t>
      </w:r>
    </w:p>
    <w:p>
      <w:r>
        <w:t>En l'espèce, l'intimée, qui a obtenu gain de cause, est au bénéfice d'une défense privée et fait valoir des prétentions en indemnisation pour les honoraires de son conseil. Il sied de préciser que, quand bien même celle-ci a été condamnée à supporter le quart des frais de la procédure d'appel, l'activité de son conseil a porté sur le fond du dossier et, notamment, la plaidoirie n'a pas traité de la question de l'indemnité, si bien qu'il se justifie de l'indemniser pleinement, sur le principe. Les frais de défense de l'intimée sont intégralement pris en charge par son employeur, à l'exclusion de son appel joint, en application de l'art. 14A RPAC. Cette disposition prévoit que la prise en charge intervient en principe sous forme d'avances en cours de procédure (...) et comprend les honoraires d'avocat jusqu'à un tarif horaire de maximum 300 francs de l'heure (art. 14 al. 4 et 5 let. b RPAC). Il prévoit la cession à l'État, par la personne bénéficiaire de la prise en charge, des dépens qui lui ont été alloués (art. 14 al. 8 RPAC). Le conseil de l'intimée a présenté des notes d'honoraires à un tarif supérieur au tarif horaire prévu par l'art. 14A RPAC, allant jusqu'à CHF 450.- par heure d'activité. Sa cliente a indiqué ne pas avoir payé la différence entre le tarif horaire prévu par le RPAC et son tarif usuel, ni n'avoir convenu de le faire. Or, un avocat ne peut pas faire dépendre le montant de ses honoraires du résultat de l’affaire et doit informer son client des modalités de facturation et le renseigner périodiquement sur le montant des honoraires dus (art. 12 let e et i de la loi fédérale sur la libre circulation des avocats [LLCA]). Ainsi, en l'absence d'information contraire transmise à l'intimée par son conseil, la Cour en déduit que ce dernier n'a pas été rémunéré au tarif allégué dans ses notes d'honoraires. Il n'a pas non plus donné à l'intimée d'information particulière concernant les honoraires en lien avec l'appel joint. Le conseil de l'intimée fait ainsi valoir pour le compte de sa cliente des prétentions en indemnisation pour un dommage qu'elle n'a pas subi, et dont la destination est inconnue puisqu'il s'agit d'honoraires d'avocats non exigibles. L'art. 429 al. 1 let. a CPP n'ayant pas vocation à indemniser un prévenu pour des frais non-effectifs, il n'y a pas lieu d'indemniser les frais de défense de l'intimée à un tarif horaire supérieur à celui convenu et accepté par son avocat. C'est donc un tarif horaire maximum de CHF 300.- qui sera pris en compte. En outre, l'activité des avocats stagiaires sera rémunérée à hauteur de CHF 150.-, comme cela est d'usage à Genève. Par ailleurs, les relevés produits par le conseil de l'intimée consacrent une activité excessive, vu le peu de complexité du dossier. De manière générale, cinq minutes apparaissent suffisantes pour la réception de communication et " gestion du délai ", 10 minutes lorsque cette activité est accompagnée de la " communication aux intéressés ". C'est ainsi 1h15 qui seront déduites du relevé d'activité de première instance (16 décembre 2020, 24 mars et 19 novembre 2021, 2 février, 1 er mars, 17 juin, 12 août et 6 octobre 2022 et 16 février 2023) et 35 minutes déduites du relevé d'appel (13 juillet et 30 novembre 2023, 5 mai et 23 avril 2024). Certaines activités sont comptabilisées à double c'est donc 15 minutes qui seront déduites du relevé d'activité de première instance (" convocation Tribunal de police audience du 03.04.23, prise de connaissance et gestion du délai " du 16 février 2023) et 1h10 déduites du relevé d'appel (22 juin 2023 : " jugement motivé du 03.04.23 reçu le 22.06.23, prise de connaissance et gestion du délai " et " courriel de Me B______ à la cliente (avec annexe: jugement du 03.04.23 reçu le 22.06.23 ") ; 30 novembre 2023 : " convocation aud. CPAR du 26.01.24, prise de connaissance et gestion du délai " ; 5 avril 2024 : " avis d'audience de la CPAR, prise de connaissance et gestion du délai " ; 23 avril 2024 : " convocation aud. CPAR du 04.11.24, prise de connaissance et gestion du délai "). D'autres sont attribuées au conseil alors qu'exécutées par les avocats stagiaires, à savoir les courriels au MP du 8 février 2022 et à la CPAR du 2 août 2023 et du 9 avril 2024, il se justifie ainsi de les facturer au tarif horaire de CHF 150.-. Concernant plus particulièrement la note relative à l'activité de première instance, l'activité consacrée à la " conférence avec la cliente + audience à l'IGS (avec déplacements) " sera ramenée à deux heures, l'audition ayant duré 30 minutes et deux conférences avec la cliente ayant déjà eu lieu les 8 et 12 mai 2020 pour une durée totale de 1h15. Le temps passé à rédiger le courrier au MP du 28 août 2020 sera ramené à 10 minutes, ce qui apparait suffisant pour une demande d'envoi d'une copie du dossier, de moins de 10 lignes, et celui passé à rédiger le courrier au MP du 26 novembre 2021 sera réduit à 10 minutes s'agissant d'une demande de consultation de dossier. L'audience d'instruction du 19 novembre 2020, celle au MP du 8 février 2021 et la consultation du dossier du 2 décembre 2021 seront facturées selon la durée réelle figurant au dossier (déplacements en sus). C'est ainsi 30 minutes qui seront déduites. Il est facturé sept heures pour l'audition de H______ à I______ [AG], avec trajet. L'audition ayant duré 35 minutes, les 6h25 de trajet restant seront indemnisées pour moitié, conformément au principe jurisprudentiel énoncé ci-dessus. Enfin, l'estimation du temps d'audience d'une heure, sera ramenée à 55 minutes, correspondant à la durée réelle de cette dernière. Concernant le relevé de la procédure d'appel, l'activité du 2 août 2023 consacrée à l'envoi par mail de l'appel joint par l'avocat stagiaire sera ramenée à cinq minutes, le temps passé sur la rédaction de l'appel joint étant facturé à part. Ainsi, il est retenu : -          CHF 8'831.40 pour la procédure de première instance, soit 23h15 d'activité de chef d'étude et de collaborateur à CHF 300.- l'heure (CHF 6'975.-) et 8h10 d'activité de stagiaire à CHF 150.- l'heure (CHF 1'225.-), TVA (7,7%) en sus (CHF 631.40) ; -          CHF 2'874.- pour la procédure d'appel, soit : ·         CHF 1'103.90 : 2h55 d'activité de chef d'étude et de collaborateur à CHF 300.- l'heure (CHF 875.-) et 1h d'activité de stagiaire à CHF 150.- l'heure, TVA (7.7%) en sus (CHF 78.90) et ·         CHF 1'770.10 : 5h d'activité de chef d'étude et de collaborateur à CHF 300.- l'heure (CHF 1'500.-) et 55 minutes d'activité de stagiaire à CHF 150.- l'heure (CHF 137.50), TVA (8.1%) en sus (CHF 132.60). L'appel joint de l'intimée est ainsi rejeté. L’appel principal, qui concluait à l’annulation du jugement entrepris et donc au déboutement de l’appelante de ses conclusions en indemnisation, est ainsi partiellement admis. Le jugement entrepris sera par conséquent réformé dans le sens des considérants qui précèdent.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