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P/24180/2018 vom 22. Juli 2019</w:t>
      </w:r>
    </w:p>
    <w:p>
      <w:r>
        <w:t>GE Cour de justice, 2019-07-22, FR</w:t>
      </w:r>
    </w:p>
    <w:p>
      <w:r>
        <w:rPr>
          <w:b/>
        </w:rPr>
        <w:t xml:space="preserve">Quelle: </w:t>
      </w:r>
      <w:r>
        <w:t>https://mcp.opencaselaw.ch/entscheid/ge_gerichte_P_24180_2018</w:t>
      </w:r>
    </w:p>
    <w:p>
      <w:r>
        <w:t>FR: GE_GERICHTE P/24180/2018 du 22 juillet 2019</w:t>
      </w:r>
    </w:p>
    <w:p>
      <w:r>
        <w:t>IT: GE_GERICHTE P/24180/2018 del 22 luglio 2019</w:t>
      </w:r>
    </w:p>
    <w:p>
      <w:pPr>
        <w:pStyle w:val="Heading2"/>
      </w:pPr>
      <w:r>
        <w:t>Regeste</w:t>
      </w:r>
    </w:p>
    <w:p>
      <w:r>
        <w:t>SOUPÇON ; FORUM DE DISCUSSION ; SITE INTERNET ; PSEUDONYME | cpp.310</w:t>
      </w:r>
    </w:p>
    <w:p>
      <w:pPr>
        <w:pStyle w:val="Heading2"/>
      </w:pPr>
      <w:r>
        <w:t>Erwägungen</w:t>
      </w:r>
    </w:p>
    <w:p>
      <w:r>
        <w:rPr>
          <w:b/>
        </w:rPr>
        <w:t>E. 6</w:t>
      </w:r>
    </w:p>
    <w:p>
      <w:r>
        <w:t>février 2014 consid. 2.3.2 et les références citées); -          le recourant a eu une connaissance effective et complète de l'ordonnance attaquée et a pu former recours sans la moindre entrave, de sorte que son grief ne saurait conduire à l'annulation de la décision; -          le recourant se plaint d'une atteinte à son honneur, au sens des art. 173 ss. CP; -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La calomnie (art. 174 CP) est une forme qualifiée de diffamation (art. 173 CP), dont elle se distingue en ceci que les allégations attentatoires à l'honneur sont fausses, que l'auteur doit avoir eu connaissance de la fausseté de ses allégations; l'art. 177 CP, subsidiaire par rapport à la diffamation, punit celui qui, de toute autre manière, aura, par la parole, l'écriture, l'image, le geste ou par des voies de fait, attaqué autrui dans son honneur ; -          à teneur de la jurisprudence, la personne dont l'honneur est visé n'a pas à être désignée, il suffit qu'elle soit reconnaissable, respectivement identifiable (ATF 124 IV 262 consid. 2a p. 266 ss; 117 IV 27 consid. 2c p. 29); il n'est pas nécessaire que plusieurs personnes la reconnaissent : il suffit que l'un des destinataires de la déclaration le puisse, question qui est examinée en tenant compte, non seulement des informations contenues dans la déclaration litigieuse, mais également des circonstances connues ou à disposition du tiers qui la reçoit (arrêt du Tribunal fédéral 6B_491/2013 du 4 février 2014 consid. 5.2.1. : cas d'un article de presse écrite sans désignation nominative de la personne visée); -          toute atteinte à l'honneur individuel est en principe exclue, lorsque l'attaque est dirigée de manière générale contre un groupe de personnes, comme par exemple les chasseurs, les catholiques, les étudiants, les Appenzellois, les homosexuels (M. NIGGLI / H. WIPRÄCHTIGER, Basler Kommentar Strafrecht II : Art. 111-392 StGB , 4 e éd., Bâle 2019, n. 52 vor Art. 173); -          dans le cadre d'une attaque dirigée contre le comportement politique de 73 conseillers nationaux, le Tribunal fédéral a, en revanche, admis que chacune des personnes du groupe pouvait être atteinte dans son honneur (ATF 80 IV 159 consid. 4 p. 166); il en va de même d'une attaque visant « des » députés policiers du Grand Conseil de Genève ( ACPR/440/2015 du 24 août 2015 consid. 2.4.); -          appliqués au cas d'espèce, ces principes conduisent à nier que le recourant ait été visé, que ce soit personnellement ou à travers un groupe suffisamment restreint pour considérer que chacun de ses membres était atteint individuellement (cf. M. NIGGLI / H. WIPRÄCHTIGER, ibid. ) ; -          les propos litigieux - dont le recourant ne se plaint que d'une seule phrase - ont la forme d'un commentaire publié en réaction à l'attribution d'un prix à la rédactrice d'un blog, qui est clairement la personne visée par l'auteur, puisque celui-ci la désigne par son prénom et s'en prend à elle à cinq reprises par le pronom personnel « vous »; - rien ne permet de retenir que l'auteur englobait simultanément dans « ______ racistes et incultes » l'ensemble des autres commentateurs intervenus sur le blog - dont le recourant faisait encore partie, à la date, précitée, de consultation du site internet -; - replacée dans son contexte, la phrase mise en cause par le recourant - dont on admettra qu'elle a été accessible en tout cas entre le 29 novembre 2018 et la date de la plainte - paraît s'adresser avant tout aux autres lauréats retenus par le mouvement initiateur du prix décerné, ainsi qu'à ce mouvement lui-même; - le recourant ne figure pas parmi ces lauréats, et il ne prétend pas être un adhérent du mouvement considéré; - il importe peu que le recourant se « flatte d'être proche» de la responsable du blog, dès lors que, par la phrase litigieuse, un lecteur ou un internaute n'était pas en situation d'établir un tel lien et que rien ne montre que pareille proximité ressortirait d'autres circonstances connues de lui ou à sa disposition; -          le recourant, qui n'a pas gain de cause, supportera les frais envers l'État, fixés en totalité à CHF 900.-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