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P/24128/2022 vom 6. November 2023</w:t>
      </w:r>
    </w:p>
    <w:p>
      <w:r>
        <w:t>GE Cour de justice, 2023-11-06, FR</w:t>
      </w:r>
    </w:p>
    <w:p>
      <w:r>
        <w:rPr>
          <w:b/>
        </w:rPr>
        <w:t xml:space="preserve">Quelle: </w:t>
      </w:r>
      <w:r>
        <w:t>https://mcp.opencaselaw.ch/entscheid/ge_gerichte_P_24128_2022</w:t>
      </w:r>
    </w:p>
    <w:p>
      <w:r>
        <w:t>FR: GE_GERICHTE P/24128/2022 du 6 novembre 2023</w:t>
      </w:r>
    </w:p>
    <w:p>
      <w:r>
        <w:t>IT: GE_GERICHTE P/24128/2022 del 6 novembre 2023</w:t>
      </w:r>
    </w:p>
    <w:p>
      <w:pPr>
        <w:pStyle w:val="Heading2"/>
      </w:pPr>
      <w:r>
        <w:t>Regeste</w:t>
      </w:r>
    </w:p>
    <w:p>
      <w:r>
        <w:t>EXPULSION(DROIT PÉNAL);EXPULSION(DROIT DES ÉTRANGERS) | LEI.115.al1.letb; LEI.119.al1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115 al. 1 LEI prévoit, à titre de peine menace, une peine privative de liberté d’un an au plus ou une peine pécuniaire ; la peine menace prévue par l'art. 119 al. 1 LEI est une peine privative de liberté de trois ans au plus ou 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2.1.3. Aux termes de l'art. 41 al. 1 CP, le juge peut prononcer une peine privative de liberté ferme de moins de six mois si les conditions du sursis à l'exécution de la peine (art. 42 CP) ne sont pas réunies et s'il y a lieu d'admettre que ni une peine pécuniaire, ni un travail d'intérêt général ne peuvent être exécutés. La peine pécuniaire (art. 34 CP)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6B_341/2017 du 23 janvier 2018 consid. 1.1 ; 6B_1030/2016 du 2 février 2017 consid. 2.2.2). Le juge doit motiver le choix de la courte peine privative de liberté ferme de manière circonstanciée (art. 41 al. 2 CP). Il devra mentionner clairement en quoi les conditions du sursis ne sont pas réunies, en quoi il y a lieu d'admettre que la peine pécuniaire ne paraît pas exécutable et en quoi un travail d'intérêt général ne semble pas non plus exécutable (ATF 134 IV 60 consid. 8.4 p. 80 ; arrêts du Tribunal fédéral 6B_372/2017 du 15 novembre 2017 consid. 1.1 ; 6B_1030/2016 du 2 février 2017 consid. 2.2). 2.1.4.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2.2</w:t>
      </w:r>
    </w:p>
    <w:p>
      <w:r>
        <w:t>En l'espèce, et s'agissant de la sanction du séjour illégal reproché, la condamnation pour entrée illégale prononcée à l'encontre de l'appelant le 26 mars 2019 est définitive, l'intéressé ne l'ayant pas contestée. La CPAR ne saurait dès lors aujourd'hui retenir un état de fait différent. Ainsi, comme relevé à juste titre par le MP, l'appelant a renouvelé son intention délictuelle en recommençant à séjourner illégalement en Suisse. Les condamnations prononcées à son encontre depuis lors (60 jours-amende y compris pour entrée illégale ; 30 jours-amende ; 60 jours-amende et 30 jours-amende) n'ayant pas à ce stade atteint le plafond de la peine menace prévue, il n'y a pas lieu à exemption de peine. S'agissant de l'infraction à l'art. 119 LEI, les interdictions de pénétrer sur le territoire du canton de Genève notifiées à l'appelant sont définitives. Il lui appartenait de les contester s'il estimait qu'elles étaient infondées, ce qu'il n'a pas fait. Pour cette infraction, comme d'ailleurs pour celle à l'art. 115 LEI, l'appelant ne pourra être suivi quant au genre de peine à prononcer et le principe d'une peine privative de liberté sera confirmé. Au vu de ses multiples antécédents, spécifiques, le pronostic de l'appelant est en effet clairement défavorable de sorte que le sursis n'est pas envisageable, et au demeurant – à juste titre – non plaidé. D'autre part, les précédentes condamnations, à des peines pécuniaires, n'ont pas dissuadé l'appelant de récidiver et n'ont manifestement eu aucun effet dissuasif sur lui. Le prononcé d'une courte peine privative de liberté se justifie ainsi pleinement, ce d'autant que son statut précaire et l'absence de revenus s'opposent au prononcé d'une peine pécuniaire. Quant à la quotité de cette courte peine privative de liberté, elle n'est pas critiquée spécifiquement par l'appelant. Avec le premier juge, on retiendra que la faute de l'appelant est de gravité moyenne, son mobile égoïste, l'appelant persistant à séjourner en Suisse et venir à Genève par pure convenance personnelle, ses antécédents nombreux, sa situation personnelle – difficile – ne justifiant pas les infractions commises. Sa collaboration semble en revanche au mieux moyenne, au vu de ses revirements quant aux infractions reprochées, même s'il sera tenu compte qu'il ne les conteste finalement pas en appel. En fin de compte, les faits reprochés à l'appelant sont d'une certaine gravité, à tout le moins au vu de leur répétition nonobstant ses interpellations successives. En mobilisant, à chaque nouvelle interpellation, de nombreux acteurs appelés à assurer la sécurité publique il cause ainsi un préjudice non négligeable à la collectivité ( AARP/299/2023 du 4 septembre 2023 ; AARP/325/2023 du 21 août 2023). La période pénale relative à l'infraction de séjour illégal est de près d'une année, entrecoupée de différentes interpellations. Les règles sur le concours amènent à considérer que l’infraction abstraitement la plus grave est la violation de l’art. 119 LEI, laquelle, au vu de l’attitude de l’appelant, entraîne à elle seule une peine de base de deux mois, laquelle doit être aggravée de deux mois (peine théorique de trois mois) pour tenir compte du séjour illégal. La peine privative de liberté de quatre mois prononcée par le premier juge doit ainsi être confirmée.</w:t>
      </w:r>
    </w:p>
    <w:p>
      <w:r>
        <w:rPr>
          <w:b/>
        </w:rPr>
        <w:t>E. 2.3</w:t>
      </w:r>
    </w:p>
    <w:p>
      <w:r>
        <w:t>Au vu de ce qui précède, les conclusions en indemnisation pour détention injustifiée seront rejetées, si tant est que, non mentionnées dans la déclaration d'appel, elles soient recevables.</w:t>
      </w:r>
    </w:p>
    <w:p>
      <w:r>
        <w:rPr>
          <w:b/>
        </w:rPr>
        <w:t>E. 3</w:t>
      </w:r>
    </w:p>
    <w:p>
      <w:r>
        <w:t>3.1.1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ne contredit pas l'interdiction de la double peine qui découle notamment de l'art. 6 CEDH ( AARP/202/2017 du 16 juin 2017 consid. 2.5).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(G. FIOLKA / L. VETTERLI, op. cit. , p. 87 ; K. KÜMIN, Darf eine Aufenthaltsbewilligung widerrufen werden, nachdem von einer Landesverweisung abgesehen wurde ? , Jusletter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66a ff. StGB, Revue de l'avocat 2016, p. 166 ; M. BUSSLINGER / P. UEBERSAX, Härtefallklausel und migrationsrechtliche Auswirkungen der Landesverweisung, cahier spécial, Plaidoyer 5/2016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 Les critères déterminants mis en exergue par la jurisprudence rendue sur l'art. 8 CEDH sont applicables à la pesée des intérêts des art. 66a al. 2 et 66abis CP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 3.1.2 L'inscription de l'expulsion dans le système d'information Schengen (SIS) est régie depuis le 11 mai 2021 par le règlement (UE) 2018/1861 sur l'établissement, le fonctionnement et l'utilisation du SIS dans le domaine des vérifications aux frontières (RS 0.362.380.085), modifiant la convention d'application de l'accord de Schengen ainsi que modifiant et abrogeant le règlement (CE) n° 1987/2006. L'art. 21 ch. 1 du règlement 2018/1861 prescrit qu'avant d'introduire un signalement, l'État membre signalant vérifie si le cas est suffisamment approprié, pertinent et important pour justifier l'introduction du signalement dans le SIS. Un signalement dans le SIS est introduit lorsque la décision visée au paragraphe 1 est fondée sur la menace pour l'ordre public ou la sécurité publique ou pour la sécurité nationale que peut constituer la présence d'un ressortissant d'un pays tiers sur le territoire d'un État membre (art. 24 para. 2 let. a Règlement SIS II ; ATF 147 IV 340 consid. 4.6 et 4.8). 3.2.1. En l'espèce, l'appelant persiste à résider en Suisse illégalement depuis 2002. Il a fait l'objet de quatre interpellations dans le cadre de la présente procédure et démontre clairement qu'il n'a aucunement eu jusqu'ici l'intention de respecter les décisions administratives – notamment de renvoi – prises à son encontre. Il a de plus été interpellé à deux reprises à Genève alors qu'il faisait l'objet d'une interdiction de pénétrer dans le canton. Ses antécédents dénotent eux aussi son mépris de l'ordre juridique suisse et son incapacité totale à le respecter. L'intérêt public au prononcé de l'expulsion de l'appelant est dès lors important et apparait clairement de nature à empêcher la commission de nouvelles infractions en Suisse. L'intérêt de l'appelant à pouvoir rester en Suisse est par ailleurs plus que faible. Il n'allègue pas y avoir tissé de lien particulier, n'y a ni famille ni logement et n'y a jamais travaillé. Il n'expose d'ailleurs aucun projet d'avenir concret en Suisse. Il ne dispose d'aucune autorisation de séjourner légalement dans le pays. Son ancrage dans la délinquance et son absence d'intégration ont pour conséquence que l'intérêt public à son expulsion l'emporte sur son éventuel intérêt privé à demeurer en Suisse. Les considérations politiques de l'appelant sur l'échec de la mesure en lien avec les privations de liberté prononcées pour rupture de ban sont sans pertinence juridique sur l'appréciation de la proportionnalité de l'expulsion à prononcer. Ainsi, l'expulsion facultative prononcée par le premier juge n'est pas disproportionnée et sera confirmée, étant souligné que l'autorité précédente l'a ordonnée pour une durée de trois ans, soit le minimum légal. En revanche, le principe de proportionnalité fait encore obstacle à l'extension de la mesure d'expulsion à l'ensemble de l'espace Schengen, vu la quotité de la peine prononcée et le fait qu'il s'agit d'une expulsion facultative. La répétition d'actes illicites n'ont concrètement pas encore atteint un seuil suffisant, ce qui n'exclut pas qu'une telle extension soit à l'avenir prononcée en cas de nouvelle récidive. L'appel sera dès lors admis sur ce point et le jugement réformé dans ce sens.</w:t>
      </w:r>
    </w:p>
    <w:p>
      <w:r>
        <w:rPr>
          <w:b/>
        </w:rPr>
        <w:t>E. 4</w:t>
      </w:r>
    </w:p>
    <w:p>
      <w:r>
        <w:t>L'appelant ayant d'ores et déjà purgé la peine prononcée, il n'y a pas lieu de reconduire sa détention pour des motifs de sûreté.</w:t>
      </w:r>
    </w:p>
    <w:p>
      <w:r>
        <w:rPr>
          <w:b/>
        </w:rPr>
        <w:t>E. 5</w:t>
      </w:r>
    </w:p>
    <w:p>
      <w:r>
        <w:t>L'appelant, qui succombe très largement, supportera les 4/5 èmes des frais de la procédure envers l'État (art. 428 CPP). Il n'y a en revanche pas lieu à revoir les frais de première instance (art. 428 al. 3 CPP), le verdict de culpabilité n'étant pas contesté, sinon que l'émolument complémentaire sera mis à charge à hauteur de 4/5 èmes également.</w:t>
      </w:r>
    </w:p>
    <w:p>
      <w:r>
        <w:rPr>
          <w:b/>
        </w:rPr>
        <w:t>E. 6</w:t>
      </w:r>
    </w:p>
    <w:p>
      <w:r>
        <w:t>Considéré globalement, l'état de frais produit par M e B______, défenseure d'office de A______, satisfait les exigences légales et jurisprudentielles régissant l'assistance judiciaire gratuite en matière pénale . Sa rémunération sera partant arrêtée à CHF 775.45 correspondant à 3h heures d'activité au tarif de CHF 200.-/heure plus la majoration forfaitaire de 20% et l'équivalent de la TVA au taux de 7.7% en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