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P/24103/2024 vom 12. Juni 2025</w:t>
      </w:r>
    </w:p>
    <w:p>
      <w:r>
        <w:t>GE Cour de justice, 2025-06-12, FR</w:t>
      </w:r>
    </w:p>
    <w:p>
      <w:r>
        <w:rPr>
          <w:b/>
        </w:rPr>
        <w:t xml:space="preserve">Quelle: </w:t>
      </w:r>
      <w:r>
        <w:t>https://mcp.opencaselaw.ch/entscheid/ge_gerichte_P_24103_2024</w:t>
      </w:r>
    </w:p>
    <w:p>
      <w:r>
        <w:t>FR: GE_GERICHTE P/24103/2024 du 12 juin 2025</w:t>
      </w:r>
    </w:p>
    <w:p>
      <w:r>
        <w:t>IT: GE_GERICHTE P/24103/2024 del 12 giugno 2025</w:t>
      </w:r>
    </w:p>
    <w:p>
      <w:pPr>
        <w:pStyle w:val="Heading2"/>
      </w:pPr>
      <w:r>
        <w:t>Regeste</w:t>
      </w:r>
    </w:p>
    <w:p>
      <w:r>
        <w:t>DÉTENTION PROVISOIRE;RISQUE DE RÉCIDIVE | CPP.221; LStup.19.al1; LArm.33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graves et suffisantes, de sorte qu'il n'y a pas lieu d'y revenir.</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est désormais renvoyé en jugement pour, principalement, infraction grave à la LStup, meurtre, tentative de meurtre (art. 22 cum 111 CP), mise en danger de la vie d'autrui (art. 129 CP) et délits contre la LArm, soit des faits d'une très grande gravité. La gravité relative selon lui des faits pour lesquels il a été interpellé le 19 décembre 2024, qu'il invoque, ne lui est donc d'aucun secours, tout comme ses considérations sur le fait qu'à suivre la logique du TMC, un prévenu en liberté provisoire devrait être replacé en détention provisoire à l'approche de l'audience de jugement. Le risque qu'il ne soit tenté de prendre la fuite ou de disparaître dans la clandestinité s'est ainsi renforcé et, ce, malgré sa nationalité suisse et ses attaches familiales à Genève. Célibataire, sans enfants et sans emploi, le prévenu est particulièrement mobile. Sa volonté de prendre un nouveau départ dans sa vie privée et professionnelle pourrait ainsi aisément se concrétiser à l'occasion d'une fuite vers l'étranger. Tant le TMC que le Ministère public semblent admettre que ce risque pourrait être pallié par les mesures de substitution proposées par le prévenu (obligation de se présenter à toute convocation du Pouvoir judiciaire, obligation de déposer ses papiers d'identité en mains de la Direction de la procédure, obligation de résider à D______, interdiction de quitter le territoire suisse et obligation de déposer une caution de CHF 30'000.- auprès des Services financiers du Pouvoir judiciaire). Cette question peut toutefois rester ouverte ici, compte tenu de ce qui suit.</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Une augmentation de la fréquence et de l'intensité des agissements illicites peuvent s’avérer déterminants pour apprécier un risque de réitération (ATF 143 IV 9 , c. 2.3.2), qui peut également être retenu, conformément au principe de célérité, afin d'éviter qu’une instruction soit sans cesse compliquée et prolongée par la commission de nouvelles infractions à un rythme soutenu (arrêt du Tribunal fédéral 1B_257/2021 du 10 juin 2021 consid. 2.3.2 et les références, not. ATF 146 IV 326 consid. 3.2; 137 IV 84 consid. 3.2 et arrêt du Tribunal fédéral 1B_201/2014 du 19 juin 2014 consid. 3.2).</w:t>
      </w:r>
    </w:p>
    <w:p>
      <w:r>
        <w:rPr>
          <w:b/>
        </w:rPr>
        <w:t>E. 4.4</w:t>
      </w:r>
    </w:p>
    <w:p>
      <w:r>
        <w:t>En l'occurrence, le recourant a été arrêté à trois reprises, en 2019, 2022 et 2024, dans le cadre de trois procédures, désormais jointes et pour lesquelles il vient d'être renvoyé en jugement, pour des faits extrêmement graves, comme on l'a vu. On relèvera qu'il est également poursuivi à cet égard pour la détention, sans droit, de munitions, de deux poings américains et d'un couteau papillon à son domicile, le 19 décembre 2024, ce qui contredit sa version des faits selon laquelle les armes en question n'étaient que "décoratives" et atteste, du moins à ce stade, de la dangerosité potentielle du comportement en cause, celui-ci n'ayant au demeurant pris aucune disposition pour s'en débarrasser malgré l'engagement annoncé dans la P/11309/2022 de ne plus détenir d'armes (et la mesure de substitution mise à sa charge dans ce sens). Conformément à la jurisprudence, l'intérêt à la sécurité publique prime dès lors sur la liberté personnelle du prévenu. Le recourant prétend ensuite qu'il souhaite prendre un nouveau départ, s'éloigner de ses anciennes fréquentations, ne plus consommer de drogue – il disait avoir entrepris un traitement pour son trouble TDAH et ne plus consommer depuis lors –, faire en sorte de conserver son permis de voiture et trouver un emploi. Si cette volonté affichée apparaît louable, elle n'est toutefois pas suffisante pour amoindrir le risque de récidive de nouvelles infractions qui viendraient de surcroît sans cesse retarder et compliquer les procédures ouvertes contre l'intéressé, comme l'a fait justement remarquer le TMC. Il existe ainsi à tout le moins un risque de récidive simple au sens de l'art. 221 al. 1 let. c CPP, que les mesures de substitution proposées ne sont pas à même de pallier. Les offres d'emploi produites émanant de sociétés privées ne constituent en effet pas des engagements fermes et inconditionnels. Il en va de même de l'attestation de la sœur du prévenu, foraine indépendante, qui se dit prête à lui donner du travail à sa sortie de prison, sans autre précision. Quant à l'interdiction de porter les couleurs des G______ et l'interdiction de fréquenter les G______ et les H______, elles ne reposeraient que sur la seule volonté de l'intéressé, difficilement vérifiable, et sont dès lors insuffisantes, eu égard à l'importance du risque considéré. Le recourant propose encore de se soumettre à un traitement médical destiné à soigner sa dépendance aux stupéfiants. On ignore toutefois quel type de traitement il envisagerait, auprès de qui et à quelle fréquence il s'y soumettrait. Quand bien même ces informations seraient fournies, on relèvera qu'il ne lui est pas reproché de simples actes de consommation mais de s'être adonné à un trafic de stupéfiants. Or, on ne voit pas en quoi un traitement visant à soigner sa dépendance l'empêcherait de poursuivre des activités délictuelles sous l'angle à tout le moins de l'art. 19 al. 1 LStup. Une telle mesure de substitution apparaît ainsi insuffisante. Enfin, l'interdiction de contact proposée par le recourant ne saurait pallier que le risque de collusion, non retenu. Aucune autre mesure de substitution n'entre en ligne de compte en l'état.</w:t>
      </w:r>
    </w:p>
    <w:p>
      <w:r>
        <w:rPr>
          <w:b/>
        </w:rPr>
        <w:t>E. 5</w:t>
      </w:r>
    </w:p>
    <w:p>
      <w:r>
        <w:t>Le principe de la proportionnalité (art. 197 CPP) n'est pas violé compte tenu de la peine concrètement encourue si les faits reprochés étaient confirmés.</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