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P/24080/2016 vom 28. November 2018</w:t>
      </w:r>
    </w:p>
    <w:p>
      <w:r>
        <w:t>GE Cour de justice, 2018-11-28, FR</w:t>
      </w:r>
    </w:p>
    <w:p>
      <w:r>
        <w:rPr>
          <w:b/>
        </w:rPr>
        <w:t xml:space="preserve">Quelle: </w:t>
      </w:r>
      <w:r>
        <w:t>https://mcp.opencaselaw.ch/entscheid/ge_gerichte_P_24080_2016</w:t>
      </w:r>
    </w:p>
    <w:p>
      <w:r>
        <w:t>FR: GE_GERICHTE P/24080/2016 du 28 novembre 2018</w:t>
      </w:r>
    </w:p>
    <w:p>
      <w:r>
        <w:t>IT: GE_GERICHTE P/24080/2016 del 28 novembre 2018</w:t>
      </w:r>
    </w:p>
    <w:p>
      <w:pPr>
        <w:pStyle w:val="Heading2"/>
      </w:pPr>
      <w:r>
        <w:t>Regeste</w:t>
      </w:r>
    </w:p>
    <w:p>
      <w:r>
        <w:t>ORDONNANCE PÉNALE ; OPPOSITION TARDIVE ; AVIS DE RETRAIT ; FICTION DE LA NOTIFICATION | CPP.85.al4; CPP.355; CPP.354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soulève un excès du pouvoir d'appréciation, ainsi qu'une constatation incomplète et erronée des faits.</w:t>
      </w:r>
    </w:p>
    <w:p>
      <w:r>
        <w:rPr>
          <w:b/>
        </w:rPr>
        <w:t>E. 3.1</w:t>
      </w:r>
    </w:p>
    <w:p>
      <w:r>
        <w:t>L'ordonnance pénale est notifiée par écrit aux personnes et aux autorités qui ont qualité pour former opposition (art. 353 al. 3 CPP), soit en particulier le prévenu (art. 354 al. 1 let. a CPP). Le délai d'opposition est de dix jours (art. 354 al. 1 CPP).</w:t>
      </w:r>
    </w:p>
    <w:p>
      <w:r>
        <w:rPr>
          <w:b/>
        </w:rPr>
        <w:t>E. 3.2</w:t>
      </w:r>
    </w:p>
    <w:p>
      <w:r>
        <w:t>Les autorités pénales notifient leurs prononcés par lettre signature ou par tout autre mode de communication impliquant un accusé de réception, notamment par l'entremise de la police (art. 85 al. 2 CPP). Toute communication doit être notifiée au domicile, au lieu de résidence habituelle ou au siège du destinataire (art. 87 al. 1 CPP).</w:t>
      </w:r>
    </w:p>
    <w:p>
      <w:r>
        <w:rPr>
          <w:b/>
        </w:rPr>
        <w:t>E. 3.3</w:t>
      </w:r>
    </w:p>
    <w:p>
      <w:r>
        <w:t>Le prononcé est réputé notifié si son destinataire ne l'a pas retiré dans les sept jours à compter d'une tentative de remise infructueuse, à condition qu'il ait dû s'attendre à une telle remise (art. 85 al. 4 let. a CPP).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(arrêt du Tribunal fédéral 6B_754/2017 du 10 octobre 2017 consid. 2).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est au courant qu'il fait l'objet d'une instruction pénale au sens de l'art. 309 CPP (ATF 116 I a 90, JT 1992 80 118; SJ 2001 I 449). L'obligation de prendre des dispositions pour être atteint naît en particulier lors de l'audition par la police en qualité de prévenu ( ACPR/436/2013 consid. 3.1). À teneur de la jurisprudence, la sécurité du droit et le principe d'économie de procédure imposent en effet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w:t>
      </w:r>
    </w:p>
    <w:p>
      <w:r>
        <w:rPr>
          <w:b/>
        </w:rPr>
        <w:t>E. 3.4</w:t>
      </w:r>
    </w:p>
    <w:p>
      <w:r>
        <w:t>En l'espèce, au moment de l'envoi, par le Ministère public, le 23 janvier 2018, de l'ordonnance pénale, le recourant se savait visé par une procédure pénale, puisqu'il avait été entendu à deux reprises en qualité de prévenu. Par ailleurs, il avait été informé, par lettre du 27 décembre 2017, qu'une ordonnance pénale allait être rendue contre lui. Il devait donc s'attendre, au vu des principes sus-rappelés, à recevoir une communication en lien avec la procédure et il lui incombait de prendre les mesures pour la recevoir, ce qu'il n'a pas fait. Son choix de laisser son courrier en poste restante n'est pas opposable aux autorités pénales et ne modifie pas la computation des délais. Le recourant n'a pas non plus étayé les éventuels problèmes (de retard ou de réexpédition) qu'il aurait rencontré avec l'office postal, ni exposé que de tels problèmes auraient eu lieu en janvier 2018. En tout état de cause, le justificatif de distribution figurant au dossier établit que le pli contenant l'ordonnance pénale a été placé en poste restante le lendemain de son envoi, de sorte qu'aucun retard n'est à déplorer en l'espèce. L'adresse à laquelle l'ordonnance pénale a été notifiée est, au surplus, valable, le recourant la mentionnant encore dans son recours. Partant, les conditions de la notification fictive, au sens de l'art. 85 al. 4 CPP sont réunies. Le pli contenant l'ordonnance pénale est réputé avoir été notifié le 31 janvier 2018, soit le septième jour à compter de sa remise en poste restante, le 24 janvier 2018. Le délai de dix jours pour former opposition est ainsi venu à échéance le 12 février 2018, de sorte que l'opposition, formée après cette date, est tardive. En relevant ce qui précède, le Tribunal de police n'a ni constaté les faits de manière incomplète ou erronée, ni n'a excédé son pouvoir d'appréciation.</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