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P/24058/2017 vom 12. Februar 2021</w:t>
      </w:r>
    </w:p>
    <w:p>
      <w:r>
        <w:t>GE Cour de justice, 2021-02-12, FR</w:t>
      </w:r>
    </w:p>
    <w:p>
      <w:r>
        <w:rPr>
          <w:b/>
        </w:rPr>
        <w:t xml:space="preserve">Quelle: </w:t>
      </w:r>
      <w:r>
        <w:t>https://mcp.opencaselaw.ch/entscheid/ge_gerichte_P_24058_2017</w:t>
      </w:r>
    </w:p>
    <w:p>
      <w:r>
        <w:t>FR: GE_GERICHTE P/24058/2017 du 12 février 2021</w:t>
      </w:r>
    </w:p>
    <w:p>
      <w:r>
        <w:t>IT: GE_GERICHTE P/24058/2017 del 12 febbraio 2021</w:t>
      </w:r>
    </w:p>
    <w:p>
      <w:pPr>
        <w:pStyle w:val="Heading2"/>
      </w:pPr>
      <w:r>
        <w:t>Regeste</w:t>
      </w:r>
    </w:p>
    <w:p>
      <w:r>
        <w:t>ASSASSINAT;PARTIE CIVILE;MAXIME DE DISPOSITION ET DES DÉBATS | CP.112; CP.70; CPP.124.al3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111 CP réprime le comportement de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 GRAVEN, L'infraction pénale punissable , 2 e éd., Berne 1995, p. 200 n. 152).</w:t>
      </w:r>
    </w:p>
    <w:p>
      <w:r>
        <w:rPr>
          <w:b/>
        </w:rPr>
        <w:t>E. 2.2</w:t>
      </w:r>
    </w:p>
    <w:p>
      <w:r>
        <w:t>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141 IV 61 consid. 4.1).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ou encore sans motif apparent, voire pour une broutille.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ou s'il agit avec perfidie, en inspirant frauduleusement confiance à la victime pour la tuer ensuite sans qu'elle se méfie. Il ne s'agit toutefois là que d'exemples destinés à illustrer la notion, de sorte qu'il n'est pas nécessaire que l'une de ces hypothèses soit réalisée.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et 4.2 ; 127 IV 10 consid. 1a ; 118 IV 122 consid. 2b ; 117 IV 369 consid. 19b ; 101 IV 279 consid. 2).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Le fait que l’auteur "accepte" la mort pour le cas où celle-ci se produirait n’exclut pas que les mobiles sous-tendant l’homicide ou la tentative d’homicide ainsi que le but de l’infraction puissent procéder d’un mépris singulièrement grossier pour la vie humaine et s’avérer être particulièrement odieux. Un assassinat peut donc également être commis par dol éventuel (ATF 112 IV 65 consid. 3b ; arrêt du Tribunal fédéral 6B_232/2012 du 8 mars 2013 consid. 1.4.2, résumé in Forumpoenale 3/2014 n. 23).</w:t>
      </w:r>
    </w:p>
    <w:p>
      <w:r>
        <w:rPr>
          <w:b/>
        </w:rPr>
        <w:t>E. 2.3</w:t>
      </w:r>
    </w:p>
    <w:p>
      <w:r>
        <w:t>En l’espèce, il est établi et n’est d’ailleurs pas contesté que l’intimé a tué la victime. Seule est litigieuse la qualification d’assassinat. Les images de la caméra de la rue 1______ démontrent qu’il s’écoule à peine plus d’une minute entre le moment où l’intimé entre sur la rue 2______ et celui où il en ressort. Ce bref laps de temps ne laisse pas de place à une altercation physique telle que celle qu’il décrit. Les témoignages recueillis contredisent également sa version puisque les témoins entendent les coups de feu à peine quelques secondes après avoir quitté la victime, respectivement croisé l’intimé, et que le seul témoin visuel ne voit aucune altercation. L’intimé ne connaissait sa victime que de vue et a dit en avoir eu peur. Plusieurs témoins décrivent celle-ci comme une personne de caractère, pouvant élever la voix ; aucun toutefois ne la décrit comme quelqu’un de physiquement agressif, sauf à une reprise et sous l’effet d’une très forte alcoolisation, ce qui n’était pas le cas le soir des faits. Si l’intimé a pu ressentir de la crainte, cette émotion n’est pas objectivable et doit être rapportée à son état psychique, notamment aux traits paranoïaques de sa personnalité, et non à l’attitude ou au comportement de la victime, qui, le soir des faits, ne lui a pas donné de motif de se sentir à ce point énervé, en colère ou autrement blessé. L’intimé se trouvait dans un état mental particulier lors de ses rencontres successives avec la victime. Il venait d’apprendre des mauvaises nouvelles de son médecin, avait consommé de l’alcool – fait dont il était coutumier et qui ne peut dès lors pas être considéré comme ayant fortement altéré sa perception des événements – et souffrait des troubles de sa personnalité paranoïaques, narcissiques et antisociaux. Il était rentré depuis peu à Genève, suite à un nouvel échec dans son parcours de vie et notamment à une violente altercation sur son bateau à Y______ [France]. Ces éléments relatifs à son for intérieur ne se rapportent toutefois pas à la commission de l'acte homicide mais bien à son état d’esprit. Les motifs de son passage à l’acte demeurent ainsi essentiellement incompréhensibles. À plusieurs reprises, l’intimé a évoqué, pour l’expliquer, une forme de suicide par un passage à l’acte, et assimile la prison à une sorte d’alibi à sa sensation d’échec. Si le mobile de son geste devait résider dans une volonté d’autodestruction, prendre volontairement la vie d’un tiers, pour éviter de s’ôter la sienne propre, voire pour imprimer un changement dans son parcours d’échecs successifs, constitue par définition un mobile égoïste et égocentrique. Une autre explication possible réside dans une frustration de l’intimé d’avoir été vertement remballé par la victime au cours de leur discussion initiale. Ôter une vie pour se venger de quelques paroles vives mal perçues constitue un geste tout aussi égoïste et futile. Ainsi, quelle que soit l’explication, si tant est qu’il y en ait une, la motivation de l’acte homicide repose sur des motifs égoïstes et centrés sur la seule personne de l’intimé, qui a tué pour satisfaire des mobiles éminemment égoïstes et futiles. L’intimé a abattu sa victime en faisant feu sur elle à quatre reprises, sans qu’il soit possible ni d’ailleurs utile d’établir si le dernier coup de feu a été tiré alors que la victime était déjà à terre. Cette manière d’agir démontre qu’il n’entendait lui laisser aucune chance. Il était totalement maître du scénario qu’il avait mis en œuvre en revenant à la rue 2______ et qu’il a mené à son terme, avant de tourner talon sans égard pour sa victime qui agonisait derrière lui. Ces circonstances emportent la qualification d’assassinat au sens de l’art. 112 CP. Les appels doivent ainsi être admis et le jugement entrepris réformé en ce sens.</w:t>
      </w:r>
    </w:p>
    <w:p>
      <w:r>
        <w:rPr>
          <w:b/>
        </w:rPr>
        <w:t>E. 3.1</w:t>
      </w:r>
    </w:p>
    <w:p>
      <w:r>
        <w:t>Selon l'art. 47 CP,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 La décision doit exprimer les éléments essentiels relatifs à l'acte ou à l'auteur pris en compte, de manière à ce que l'on puisse constater que tous les aspects pertinents ont été pris en considération et comment ils ont été appréciés, que ce soit dans un sens aggravant ou atténuant (art. 50 CP). Elle peut passer sous silence les éléments qui, sans abus du pouvoir d'appréciation,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(arrêt du Tribunal fédéral 6B_553/2014 du 24 avril 2015 consid. 3.5.3). Plus la peine est élevée, plus la motivation doit être complète (ATF 127 IV 101 consid. 2c p. 105). Cela vaut en particulier lorsque la peine, dans le cadre légal, apparaît comparativement très élevée ou étonnamment clémente (ATF 134 IV 17 consid. 2.1 p. 20 ; 127 IV 101 consid. 2c p. 105). L'absence d'antécédents a en principe un effet neutre sur la fixation de la peine et n'a pas à être pris en considération dans un sens atténuant (ATF 141 IV 61 consid. 6.3.2 p. 70 ; 136 IV 1 consid. 2.6 p. 2 ss).</w:t>
      </w:r>
    </w:p>
    <w:p>
      <w:r>
        <w:rPr>
          <w:b/>
        </w:rPr>
        <w:t>E. 3.2</w:t>
      </w:r>
    </w:p>
    <w:p>
      <w:r>
        <w:t>Le juge atténue la peine en application de l'art. 19 al. 2 CP si, au moment d'agir, l'auteur ne possédait que partiellement la faculté d'apprécier le caractère illicite de son acte ou de se déterminer d'après cette appréciation.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3.4.1. En l’espèce, et quand bien même le grief n’a pas été soulevé par l’intimé, il est manifeste que les deux infractions retenues à son encontre ne sont pas passibles de la même peine, ce qui appelle d’office une correction (art. 404 al. 2 CPP). En effet, l’infraction à la loi sur les armes, de gravité relative, peut adéquatement être sanctionnée par une peine pécuniaire et assortie d’un sursis, dont le prévenu remplit les conditions. En conséquence, il n’y a pas matière à fixer la peine en application de l’art. 49 CP, aucun concours au sens de cette disposition n’étant réalisé. La faute de l’intimé en lien avec cette infraction doit être qualifiée de moyenne. Il a agi par légèreté, par intérêt personnel et manque de respect pour l’ordre juridique suisse, en important un accessoire d’arme interdit. Cette infraction sera dès lors sanctionnée par une peine pécuniaire de 90 jours-amende. Le montant du jour-amende sera arrêté à CHF 30.-, soit au minimum légal, qui paraît adéquat compte tenu de la situation du prévenu, qui est en détention depuis plus de trois ans et appelé à y rester de longues années. Le délai d’épreuve sera fixé à trois ans. Le jugement entrepris sera dès lors réformé en ce sens. 3.4.2. L'assassinat au sens de l'art. 112 CP est passible d'une peine privative de liberté à vie ou d'une peine privative de liberté de dix ans au moins. La vie de l’intimé est un parcours d’échecs successifs, qui culmine dans l’assassinat commis dans la nuit du 21 au 22 novembre 2017. Dès son arrestation par la police, l’intimé a exprimé des regrets et des remords sincères. Il a collaboré tout au long de l’instruction, étant néanmoins relevé que les circonstances de son interpellation ne lui laissaient en réalité guère d’autre issue. Un processus thérapeutique a été rapidement entamé, dont il dit lui-même qu’il est appelé à durer. Cela ressort d’ailleurs de ses propos en audience d’appel, emprunts d’une froideur et d’un calme presque analytiques, manifestement liés aux troubles de la personnalité dont il souffre encore. Il est, par la force des choses, sevré de son alcoolisme. Il travaille en détention de façon régulière, pour la première fois de son existence, mais n’a affecté à ce jour qu’une somme modique au dédommagement des victimes. Sa situation personnelle était plutôt favorable avant les faits, nonobstant l’absence de réalisations concrètes. Il bénéficiait d’un fort soutien de sa mère, qui subvenait à son entretien et à celui de sa fille, avec laquelle il a développé une relation qui se poursuit malgré sa longue détention. Il disposait d’un logement stable, certes modeste, d’un soutien auprès de plusieurs médecins, d’un cadre de vie plutôt confortable. Rien n’explique vraiment le basculement qui a conduit à l’assassinat ; ce geste irréparable n’aurait jamais dû survenir : il pouvait et devait être empêché par l’intimé. L’antécédent de l’intimé, ancien et concernant un tout autre bien juridique, a un effet neutre sur la peine. La peine doit avoir pour objectif de sanctionner cet acte, sans pour autant écraser le condamné, qui doit au contraire être amené à se relever, à se réinsérer et encouragé à poursuivre les efforts d’ores et déjà entrepris en ce sens. La culpabilité de l’intimé est extrêmement lourde ; cet assassinat d’une futilité et d’une gratuité difficilement compréhensibles, aux conséquences gravissimes, encourt abstraitement de l’avis de la Cour une peine privative de liberté de l’ordre de 16 ans. Toutefois, la culpabilité de l’intimé, dont la responsabilité pénale est restreinte, est ainsi moins grande que celle d’un auteur dont la responsabilité serait pleine et entière. Compte tenu de la responsabilité faiblement restreinte, sa faute doit être qualifiée de très lourde et la peine sera ramenée à 13 ans, durée qui paraît adéquate tant pour sanctionner l’acte commis que pour permettre le travail de reprise en main de sa vie par l’intimé, en l’aidant dans son chemin de reconstruction. Le jugement entrepris sera donc réformé en ce sens.</w:t>
      </w:r>
    </w:p>
    <w:p>
      <w:r>
        <w:rPr>
          <w:b/>
        </w:rPr>
        <w:t>E. 4</w:t>
      </w:r>
    </w:p>
    <w:p>
      <w:r>
        <w:t>4.1.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rPr>
          <w:b/>
        </w:rPr>
        <w:t>E. 4.2</w:t>
      </w:r>
    </w:p>
    <w:p>
      <w:r>
        <w:t>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(arrêt du Tribunal fédéral 6B_1137/2018 du 14 février 2019 consid. 6.3). L'art. 124 al. 3 CPP prescrit que si le prévenu acquiesce aux conclusions civiles, sa déclaration doit être consignée au procès-verbal et constatée dans la décision finale.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(A. KUHN / Y. JEANNERET / C. PERRIER DEPEURSINGE [éds], Commentaire romand : Code de procédure pénale suisse , 2 e éd., Bâle 2019, n. 13 ad art. 124 CPP).</w:t>
      </w:r>
    </w:p>
    <w:p>
      <w:r>
        <w:rPr>
          <w:b/>
        </w:rPr>
        <w:t>E. 4.3</w:t>
      </w:r>
    </w:p>
    <w:p>
      <w:r>
        <w:t>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L'art. 73 al. 1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notamment (let. b) les objets et les valeurs patrimoniales confisqués ou le produit de leur réalisation, sous déduction des frais. En l’espèce, les conclusions civiles des parties plaignantes ont été admises, sans qu’il ne soit fait droit à leurs conclusions en allocation des biens séquestrés, nonobstant l’accord du prévenu. Il n’est pas certain qu’il eût existé un motif de confiscation, notamment au sens de l’art. 70 CP ; compte tenu de la revendication d’un tiers, cette question devait être examinée. Cela étant, elle n’a plus à être traitée, ladite revendication étant incluse dans l’accord intervenu entre les parties. La CPAR fera donc droit aux conclusions d’accord en ce sens.</w:t>
      </w:r>
    </w:p>
    <w:p>
      <w:r>
        <w:rPr>
          <w:b/>
        </w:rPr>
        <w:t>E. 5</w:t>
      </w:r>
    </w:p>
    <w:p>
      <w:r>
        <w:t>L’intimé, qui succombe pour l’essentiel, supportera les trois-quarts des frais de la procédure d’appel, le solde étant laissé à la charge de l’État (art. 428 CPP). Il n’y a pas matière à revoir les frais de première instance, qui ne sont pas contestés.</w:t>
      </w:r>
    </w:p>
    <w:p>
      <w:r>
        <w:rPr>
          <w:b/>
        </w:rPr>
        <w:t>E. 6</w:t>
      </w:r>
    </w:p>
    <w:p>
      <w:r>
        <w:t>6.1.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6.4</w:t>
      </w:r>
    </w:p>
    <w:p>
      <w:r>
        <w:t>En l'occurrence, tousles conseils facturent des temps de préparation trop élevés pour un dossier connu pour avoir été suivi, pour deux d’entre eux, dès le début de l’instruction et plaidé en première instance, par des avocats de surcroît chevronnés. Compte tenu des enjeux différents pour le prévenu, un temps de préparation plus long sera retenu, celui-ci devant s’exprimer sur l’ensemble de la procédure, tandis que les parties plaignantes n’avaient pas à préparer les débats sur l’aspect de la peine. Ainsi, pour les conseils des parties plaignantes, un temps de préparation de huit heures sera admis et, pour celui du prévenu, un temps de douze heures d’activité du chef d’étude. Les entretiens avec les mandants et la durée de l’audience d’appel, y compris deux forfaits de déplacement, seront ajoutés. Toutefois, l’entretien du collaborateur du conseil du prévenu avec celui-ci, la veille de l’audience d’appel, sera écarté dans la mesure où il s’ajoute à deux entretiens des 16 et 21 septembre 2021. Enfin, la préparation d’un bordereau de pièces par le collaborateur du conseil du prévenu ne sera pas indemnisée, cette activité étant couverte par la majoration forfaitaire.</w:t>
      </w:r>
    </w:p>
    <w:p>
      <w:r>
        <w:rPr>
          <w:b/>
        </w:rPr>
        <w:t>E. 6.5</w:t>
      </w:r>
    </w:p>
    <w:p>
      <w:r>
        <w:t>En conclusion, la rémunération de M e C______ sera arrêtée à CHF 4'065.70 correspondant à 16h15 heures d'activité au tarif de CHF 200.-/heure plus la majoration forfaitaire de 10%, deux vacations et l'équivalent de la TVA au taux de 7.7% en CHF 290.70.</w:t>
      </w:r>
    </w:p>
    <w:p>
      <w:r>
        <w:rPr>
          <w:b/>
        </w:rPr>
        <w:t>E. 6.6</w:t>
      </w:r>
    </w:p>
    <w:p>
      <w:r>
        <w:t>La rémunération de M e G______ sera arrêtée à CHF 3'888.- correspondant à 15h30 d'activité au tarif de CHF 200.-/heure plus la majoration forfaitaire de 10%, deux vacations et l'équivalent de la TVA au taux de 7.7% en CHF 278.-.</w:t>
      </w:r>
    </w:p>
    <w:p>
      <w:r>
        <w:rPr>
          <w:b/>
        </w:rPr>
        <w:t>E. 6.7</w:t>
      </w:r>
    </w:p>
    <w:p>
      <w:r>
        <w:t>La rémunération de M e J______ sera arrêtée à CHF 6'666.10 correspondant à 27 heures d'activité au tarif de CHF 200.-/heure, 18 minutes au tarif de CHF 150.-/heure, plus la majoration forfaitaire de 10%, deux vacations et l'équivalent de la TVA au taux de 7.7% en CHF 476.60.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