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P/24042/2018 vom 4. Dezember 2018</w:t>
      </w:r>
    </w:p>
    <w:p>
      <w:r>
        <w:t>GE Cour de justice, 2018-12-04, FR</w:t>
      </w:r>
    </w:p>
    <w:p>
      <w:r>
        <w:rPr>
          <w:b/>
        </w:rPr>
        <w:t xml:space="preserve">Quelle: </w:t>
      </w:r>
      <w:r>
        <w:t>https://mcp.opencaselaw.ch/entscheid/ge_gerichte_P_24042_2018</w:t>
      </w:r>
    </w:p>
    <w:p>
      <w:r>
        <w:t>FR: GE_GERICHTE P/24042/2018 du 4 décembre 2018</w:t>
      </w:r>
    </w:p>
    <w:p>
      <w:r>
        <w:t>IT: GE_GERICHTE P/24042/2018 del 4 dicembre 2018</w:t>
      </w:r>
    </w:p>
    <w:p>
      <w:pPr>
        <w:pStyle w:val="Heading2"/>
      </w:pPr>
      <w:r>
        <w:t>Regeste</w:t>
      </w:r>
    </w:p>
    <w:p>
      <w:r>
        <w:t>ORDONNANCE DE NON-ENTRÉE EN MATIÈRE | CPP.310</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CPP).![endif]&gt;![if&gt;</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suivent.![endif]&gt;![if&gt;</w:t>
      </w:r>
    </w:p>
    <w:p>
      <w:r>
        <w:rPr>
          <w:b/>
        </w:rPr>
        <w:t>E. 3.1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et les références citées).![endif]&gt;![if&gt; Le principe "in dubio pro duriore" découle du principe de la légalité (art. 5 al. 1 Cst. et 2 al. 2 CPP en relation avec les art. 19 al. 1 et 324 CPP ; ATF 138 IV 86 consid. 4.2 ; arrêt du Tribunal fédéral 6B_185/2016 du 30 novembre 2016 consid. 2.1.2 et les références citées). Il signifie qu'en principe, un classement ou une non-entrée en matière ne peuvent être prononcés par le ministère public que lorsqu'il apparaît clairement que les faits ne sont pas punissables ou que les conditions à la poursuite pénale ne sont pas remplies.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(A. KUHN / Y. JEANNERET (éds), Commentaire romand : Code de procédure pénale suisse , Bâle 2011 n. 9 ad art. 310 ; R. PFISTER-LIECHTI (éd.), La procédure pénale fédérale , Fondation pour la formation continue des juges suisses, Berne 2010, p. 62 ; DCPR/85/2011 du 27 avril 2011).</w:t>
      </w:r>
    </w:p>
    <w:p>
      <w:r>
        <w:rPr>
          <w:b/>
        </w:rPr>
        <w:t>E. 3.2</w:t>
      </w:r>
    </w:p>
    <w:p>
      <w:r>
        <w:t>En l'espèce, alors même que le Procureur a précisé dans sa décision ne pas pouvoir établir les faits qui seraient susceptibles d'être constitutifs d'infractions pénales, le recourant ne fournit toujours pas, dans son recours, d'explications détaillées sur ce qu'il reproche concrètement à la Dre B______ ni la date à laquelle ces faits auraient été commis; on ne distingue pas le lien qu'il faudrait faire entre ce qui serait reproché à la mise en cause et ce qui ressortirait de l'attestation d'un ophtalmologue ni quels actes auraient été commis qui seraient constitutifs tout à la fois de torture, de racisme et de lésions corporelles. C'est à bon droit que le Ministère public a ainsi rendu la décision querellée.</w:t>
      </w:r>
    </w:p>
    <w:p>
      <w:r>
        <w:rPr>
          <w:b/>
        </w:rPr>
        <w:t>E. 4</w:t>
      </w:r>
    </w:p>
    <w:p>
      <w:r>
        <w:t>Justifiée, l'ordonnance querellée sera donc confirmée.![endif]&gt;![if&gt;</w:t>
      </w:r>
    </w:p>
    <w:p>
      <w:r>
        <w:rPr>
          <w:b/>
        </w:rPr>
        <w:t>E. 5</w:t>
      </w:r>
    </w:p>
    <w:p>
      <w:r>
        <w:t>Le recourant, qui succombe, supportera les frais envers l'État, qui seront fixés en totalité à CHF 700.-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