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P/23939/2016 vom 30. November 2017</w:t>
      </w:r>
    </w:p>
    <w:p>
      <w:r>
        <w:t>GE Cour de justice, 2017-11-30, FR</w:t>
      </w:r>
    </w:p>
    <w:p>
      <w:r>
        <w:rPr>
          <w:b/>
        </w:rPr>
        <w:t xml:space="preserve">Quelle: </w:t>
      </w:r>
      <w:r>
        <w:t>https://mcp.opencaselaw.ch/entscheid/ge_gerichte_P_23939_2016</w:t>
      </w:r>
    </w:p>
    <w:p>
      <w:r>
        <w:t>FR: GE_GERICHTE P/23939/2016 du 30 novembre 2017</w:t>
      </w:r>
    </w:p>
    <w:p>
      <w:r>
        <w:t>IT: GE_GERICHTE P/23939/2016 del 30 novembre 2017</w:t>
      </w:r>
    </w:p>
    <w:p>
      <w:pPr>
        <w:pStyle w:val="Heading2"/>
      </w:pPr>
      <w:r>
        <w:t>Regeste</w:t>
      </w:r>
    </w:p>
    <w:p>
      <w:r>
        <w:t>CP.139; CP.144; CP.186; CP.49</w:t>
      </w:r>
    </w:p>
    <w:p>
      <w:pPr>
        <w:pStyle w:val="Heading2"/>
      </w:pPr>
      <w:r>
        <w:t>Erwägungen</w:t>
      </w:r>
    </w:p>
    <w:p>
      <w:r>
        <w:rPr>
          <w:b/>
        </w:rPr>
        <w:t>E. 1.1</w:t>
      </w:r>
    </w:p>
    <w:p>
      <w:r>
        <w:t>L'appel est recevable pour avoir été interjeté et motivé selon la forme et dans les délais prescrits (art. 398 et 399 CPP). ![endif]&gt;![if&gt;</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139 CP punit d’une peine privative de liberté de cinq ans au plus ou d’une peine pécuniaire celui qui, pour se procurer ou procurer à un tiers un enrichissement illégitime, aura soustrait une chose mobilière appartenant à autrui dans le but de se l’approprier (ch. 1). Le vol sera puni d'une peine privative de liberté de dix ans au plus ou d'une peine pécuniaire de 90 jours-amende au moins si son auteur fait métier du vol (ch. 2). Contrairement à la circonstance qualifiée prévue en matière de stupéfiants et de blanchiment d'argent (art. 19 al. 2 let. c LStup ; art. 305bis ch. 2 let. c CP ; ATF 129 IV 188 consid. 3.1.2 p. 190 ss), l'aggravation du vol par métier, dont la peine menace minimale n'est que de 90 jours,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 ; arrêt du Tribunal fédéral 6B_180/2013 du 2 mai 2013 consid. 2). Cette circonstance aggravante englobe dans une même qualification aussi bien les vols que les tentatives de vol, ces dernières étant absorbées par le délit consommé par métier (ATF 123 IV 113 consid. 2c et d p. 116s).</w:t>
      </w:r>
    </w:p>
    <w:p>
      <w:r>
        <w:rPr>
          <w:b/>
        </w:rPr>
        <w:t>E. 2.2</w:t>
      </w:r>
    </w:p>
    <w:p>
      <w:r>
        <w:t>L'appelant a agi à onze reprises, du 5 au 16 décembre 2016, selon un modus operandi variable, mais bien rôdé, consistant à pénétrer, de jour, dans des habitations et, de nuit, dans des commerces, soit en brisant une vitre avec une simple pierre, soit en arrachant les cylindres des portes d'entrée ou en forçant l'ouverture de celles-ci à l'aide de différents outils, puis à les fouiller afin de subtiliser des espèces ou des objets qu'il pouvait aisément vendre, tels que des bijoux, du matériel informatique, des appareils téléphoniques, etc. A l'évidence, ses antécédents spécifiques en témoignent, l'appelant était prêt à agir ainsi dès qu'une occasion se présentait, n'ayant cessé ses agissements qu'en raison de son interpellation, et s'est procuré un butin important et constituant sa principale, si ce n'est sa seule, source de revenu, étant rappelé qu'il a lui-même déclaré avoir arrêté son commerce de vêtements en été, puisqu'il n'était pas assez rentable l'hiver, et être arrivé à Genève pour " se faire de l'argent " afin de rembourser une dette, certaines conversations téléphoniques que sa complice a eue avec son ami intime confirmant aussi qu'il était " sans thunes " et déterminé. La période pénale est certes brève, mais dénote l'intensité de la volonté délictuelle de l'appelant, qui a commis la plupart de ses méfaits durant les deux derniers jours. Ses premiers cambriolages ont été perpétrés sans voiture et l'utilisation de celle-ci lui a permis de se rendre plus aisément dans des zones résidentielles hors du centre-ville où il pouvait escompter un butin plus important, le fait que son véhicule soit muni de plaques de location suisses pouvant aussi le rendre plus discret dans de tels quartiers, tout comme lors du passage de la frontière pour ramener les objets volés en France, que s'il avait été immatriculé dans ce pays, en particulier dans la région lyonnaise. La circonstance aggravante du métier est par conséquent réalisée, les critères relevant du nombre de cas commis et/ou de la durée de l'activité répréhensible n'étant en tant que tels nullement décisifs en la matière, et la décision des premiers juges doit être confirmée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3.1.2.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3.1.3.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3.1.4.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La faute de l'appelant est importante puisqu'il s'en est pris au patrimoine d'autrui, en violant de surcroît le domicile et donc la sphère privée de différents particuliers. Ses mobiles, relevant de l'appât du gain, sont égoïstes. Sa responsabilité pénale est pleine et entière, ce qui est corroboré par le fait qu'il a agi méthodiquement et en choisissant parfaitement ses cibles et le genre de butin recherché. Les quelques extraits de conversations intervenues entre sa complice et l'ami de cette dernière, tels que reproduits dans la partie en fait, suffisent à démonter qu'il n'existait aucun rapport hiérarchique ou lien de subordination, y compris d'ordre sentimental, entre les différents protagonistes, le fait que l'appelant soit surnommé " K______ " ou " petit " étant à l'évidence dû à son jeune âge et non à une quelconque dépendance envers les précités. Sa collaboration s'avère moyenne dans la mesure où s'il a certes admis d'emblée ou très rapidement la plupart des cambriolages, il n'en a reconnu d'autres que lors de l'audience de jugement et a cherché à minimiser parfois le butin obtenu, mais surtout son rôle, en tentant précisément de se retrancher derrière de prétendues instructions reçues des personnes susmentionnées ou de faire croire qu'elles auraient conservé l'essentiel du butin, alors qu'il ressort du dossier qu'elles l'aidaient à écouler celui-ci afin de maximiser leurs profits. Bien qu'il soit très jeune, la façon d'agir de l'appelant ne dénote aucune immaturité, puisqu'il a au contraire fait preuve d'un certain professionnalisme et d'une grande détermination, ce qui est corroboré par son parcours judiciaire, comportant de nombreux antécédents spécifiques même si la plupart remontent à sa minorité. Ses précédentes condamnations, y compris à des peines privatives de liberté significatives, ce qui vaut tout particulièrement pour deux des trois dernières, ne l'ont pas dissuadé de récidiver, de surcroît moins de quatre mois après sa dernière sortie de prison. Il est d'ailleurs venu en Suisse uniquement pour y commettre des délits, ses dires quant à la nécessité de rembourser une dette ayant par trop fluctué pour qu'il puisse leur être accordé du crédit. Il y a concours d'infractions au sens de l'art. 49 al. 1 CP, ce qui justifie d'augmenter dans une juste proportion la peine de l'infraction la plus grave, soit le vol par métier. Les excuses présentées aux parties plaignantes peuvent tout au plus constituer une ébauche de prise de conscience et si on peut saluer la volonté de l'appelant d'entreprendre une formation professionnelle durant son incarcération, force est aussi de constater qu'il disposait déjà d'un certain bagage en ce domaine et bénéficiait aussi d'un logement et de l'aide de proches durant la période pénale, qui ne l'ont pas détourné de ses agissements illicites. Compte tenu de ces éléments, la peine légèrement inférieure à trois ans prononcée par le Tribunal correctionnel n'est nullement excessive et apparaît au contraire adaptée à la culpabilité de l'appelant, de sorte qu'elle sera confirmée. Les conditions du sursis ne sont manifestement pas remplies, a fortiori sous l'angle de l'art. 42 al. 2 CP, ce que l'appelant ne conteste au demeurant pas. L'appel s'avère ainsi infondé.</w:t>
      </w:r>
    </w:p>
    <w:p>
      <w:r>
        <w:rPr>
          <w:b/>
        </w:rPr>
        <w:t>E. 4</w:t>
      </w:r>
    </w:p>
    <w:p>
      <w:r>
        <w:t>L'appelant, qui succombe, supportera les frais de la procédure envers l'État (art. 428 CPP).</w:t>
      </w:r>
    </w:p>
    <w:p>
      <w:r>
        <w:rPr>
          <w:b/>
        </w:rPr>
        <w:t>E. 5</w:t>
      </w:r>
    </w:p>
    <w:p>
      <w:r>
        <w:t>.1.3. À teneur de la jurisprudence, est décisif pour fixer la rémunération de l'avocat, le nombre d'heures nécessaires pour assurer la défense d'office du prévenu, compte notamment de la nature et de l'importance de la cause, ainsi que des difficultés particulières qu'elle peut présenter en fait et en droit (arrêts du Tribunal fédéral 6B_810/2010 du 25 mai 2011 consid. 2, 2C_509/2007 du 19 novembre 2007 consid. 4, et les références citées ; cf aussi art 16. al. 2 RAJ).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w:t>
      </w:r>
    </w:p>
    <w:p>
      <w:r>
        <w:rPr>
          <w:b/>
        </w:rPr>
        <w:t>E. 5.2</w:t>
      </w:r>
    </w:p>
    <w:p>
      <w:r>
        <w:t>En l'occurrence, le temps consacré à l'étude du dossier, que le défenseur d'office de l'appelant est censé bien connaître pour l'avoir assisté dès le début de la procédure, et celui afférant à la rédaction du mémoire motivé apparaissent quelque peu excessifs, de sorte que seules six heures seront admises à ce titre. L'indemnité due à M e B______ sera par conséquent arrêtée à CHF 1'600.- correspondant à huit heures d'activité au tarif de CHF 200.-/heure, plus la majoration forfaitaire de 10% (CHF 160.-), compte tenu de l'activité déjà admise en première instance (37 h), et l'équivalent de la TVA au taux de 8% en CHF 140.80.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