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P/23847/2021 vom 22. Juli 2024</w:t>
      </w:r>
    </w:p>
    <w:p>
      <w:r>
        <w:t>GE Cour de justice, 2024-07-22, FR</w:t>
      </w:r>
    </w:p>
    <w:p>
      <w:r>
        <w:rPr>
          <w:b/>
        </w:rPr>
        <w:t xml:space="preserve">Quelle: </w:t>
      </w:r>
      <w:r>
        <w:t>https://mcp.opencaselaw.ch/entscheid/ge_gerichte_P_23847_2021</w:t>
      </w:r>
    </w:p>
    <w:p>
      <w:r>
        <w:t>FR: GE_GERICHTE P/23847/2021 du 22 juillet 2024</w:t>
      </w:r>
    </w:p>
    <w:p>
      <w:r>
        <w:t>IT: GE_GERICHTE P/23847/2021 del 22 luglio 2024</w:t>
      </w:r>
    </w:p>
    <w:p>
      <w:pPr>
        <w:pStyle w:val="Heading2"/>
      </w:pPr>
      <w:r>
        <w:t>Regeste</w:t>
      </w:r>
    </w:p>
    <w:p>
      <w:r>
        <w:t>CONFRONTATION À UN ACTE D'ORDRE SEXUEL;IN DUBIO PRO REO | CP.198; CPP.10.al3; CPP.398.al4</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Conformément à l'art. 129 al. 4 de la loi sur l'organisation judiciaire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et 6B_484 2012 du 11 décembre 2012 consid. 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(Cst.) en matière d'appréciation anticipée des preuves (arrêts du Tribunal fédéral 6B_366/2021 du 26 janvier 2022 consid. 2.1.3 ; 6B_237/2021 du 6 décembre 2021 consid. 2.1 ; 6B_211/2021 du 2 août 2021 consid. 3.2).</w:t>
      </w:r>
    </w:p>
    <w:p>
      <w:r>
        <w:rPr>
          <w:b/>
        </w:rPr>
        <w:t>E. 2.2</w:t>
      </w:r>
    </w:p>
    <w:p>
      <w:r>
        <w:t>En l'espèce, l'appelant réitère ses demandes d'audition de témoins, déjà présentées en première instance. Cela étant, les personnes dont les auditions sont requises n'étaient pas présentes dans la salle de pause au moment des faits, de sorte que l'administration de ces preuves ne permettrait pas l'établissement de ceux-ci. En particulier, l'éclairage sur le fonctionnement des F______, les lieux et les autres événements survenus ce soir-là, que serait susceptible d'apporter le témoignage du manager, n'est pas nécessaire au traitement de l'appel, pas plus que celui d'une ancienne conquête de l'appelant sur le comportement de ce dernier et l'ambiance générale sur les lieux de travail. H______ a, quant à lui, déjà été entendu en première instance et l'appelant n'allègue pas qu'il serait en possession d'autres informations utiles, étant précisé que le témoin n'a jamais travaillé avec l'intimée. Enfin, la production des horaires TPG afin de déterminer l'heure à laquelle l'intimée a pris son tram après les faits n'est pas davantage pertinente. Partant, les réquisitions de preuve seront derechef rejetées.</w:t>
      </w:r>
    </w:p>
    <w:p>
      <w:r>
        <w:rPr>
          <w:b/>
        </w:rPr>
        <w:t>E. 3</w:t>
      </w:r>
    </w:p>
    <w:p>
      <w:r>
        <w:t>3.1.1. Le principe in dubio pro reo, qui découle de la présomption d'innocence, garantie par l'art. 6 ch. 2 de la Convention de sauvegarde des droits de l'homme et des libertés fondamentales du 4 novembre 1950 (CEDH) et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3.1.3.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3.1.4. Se rend coupable de la contravention réprimée par l'art. 198 al. 2 CP notamment celui qui aura importuné une personne par des attouchements d'ordre sexuel.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6P.120/2005 du 11 décembre 2005 consid. 9.1). On vise ici, en particulier, les " mains baladeuses ".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(ATF 137 IV 263 consid. 3.1 ; arrêt du Tribunal fédéral 6B_1019/2018 du 2 novembre 2018 consid. 3.3). Il faut en outre tenir compte de la mesure dans laquelle la victime a pu se soustraire au comportement de l'auteur, car il est moins aisé de se soustraire lorsque l'auteur agit sur sa place de travail que dans un lieu public (M. DUPUIS / L. MOREILLON / C. PIGUET / S. BERGER / M. MAZOU / V. RODIGARI (éds), Code pénal - Petit commentaire, 2e éd., Bâle 2017, n. 10, 12 et 13 ad art. 198). Cette disposition suppose – d'un point de vue subjectif – que l'auteur eut voulu ou à tout le moins envisagé que ses agissements pussent importuner la victime (ATF 137 IV 263 consid. 3.1 ; arrêt du Tribunal fédéral 6B_426/2019 du 31 juillet 2019 consid. 1.4).</w:t>
      </w:r>
    </w:p>
    <w:p>
      <w:r>
        <w:rPr>
          <w:b/>
        </w:rPr>
        <w:t>E. 3.2</w:t>
      </w:r>
    </w:p>
    <w:p>
      <w:r>
        <w:t>En l'espèce, l'appelant ne saurait être suivi lorsqu'il allègue que le premier juge aurait arbitrairement retenu la seule version de l'intimée, dépourvue du moindre élément de preuve. En effet, en présence d'un cas de " parole contre parole ", le TP s'est fondé sur un faisceau d'indices convergents, à savoir les déclarations crédibles et constantes de la partie plaignante, le fait qu'elle a maintenu ses allégations ce même confrontée à son agresseur, son comportement consistant à se plaindre immédiatement des faits auprès d'une personne de confiance, de la police ainsi que des ressources humaines, les messages qu'elle a échangés avec l'appelant et son meilleur ami, le témoignage indirect de ce dernier, l'absence de bénéfice secondaire à de fausses déclarations et les symptômes de stress dont elle a fait état, pour retenir que les dénégations de l'appelant n'étaient pas convaincantes et partant, que sa culpabilité était donnée. À cet égard, le fait que l'intimée n'ait pas consulté de médecin pour attester de son mal-être et de ses griffures, alors qu'une telle démarche aurait pu aisément être entreprise, ne permet pas de renverser ce constat, cet argument étant au surplus purement appellatoire. Par ailleurs, le fait qu'elle ait conservé un ton amical pour lui demander, notamment, si son comportement avait été ambivalent n'est pas non plus de nature à décrédibiliser son récit, pas plus que l'absence de reproches clairement formulés. En effet, le sens de son message ne souffre d'aucune ambigüité et l'on comprend qu'elle s'inquiète de savoir si elle a pu encourager l'appelant à aller plus loin avec elle, ce dernier la rassurant en arguant que cela venait plus de lui que d'elle, d'une part, et qu'il cherchait la limite, d'autre part. La teneur de ce message est ainsi inconciliable avec la version de ce dernier, puisque selon lui, c'est elle qui lui aurait avoué sans détour son attirance, tandis que lui, selon ses dernières déclarations, n'en éprouvait aucune. Le ton léger de la conversation s'explique, quant à lui, par le fait que l'intimée n'avait alors pas encore pleinement réalisé ce qui venait de se produire. Cela étant précisé, la Cour relève que de tels comportement et omission ne sont pas des phénomènes insolites chez les victimes. C'est en vain également que l'appelant allègue que l'intimée a quitté son emploi du fait que ses managers souhaitaient qu'elle augmentât son taux. Ce faisant, il passe volontairement sous silence le second motif, à savoir qu'elle ne se sentait plus aussi bien au travail qu'avant les faits. Pour le surplus, l'appelant se livre à une interprétation libre et appellatoire des faits, sans démontrer que le raisonnement du premier juge serait entaché d'arbitraire, et formule même de nouvelles allégations, irrecevables (art. 398 al. 4 CPP). La Cour retient donc, sur la base des faits correctement retenus par le premier juge, qu'en frottant son sexe contre le genou de l'intimée, en l'embrassant dans le cou et en lui touchant la poitrine, l'appelant s'est livré à des attouchements d'ordre sexuel, ce dernier ne contestant pas, à juste titre, la qualification retenue. Au vu de ce qui précède, l'appel sera rejeté et le jugement entrepris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4.1.2.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w:t>
      </w:r>
    </w:p>
    <w:p>
      <w:r>
        <w:rPr>
          <w:b/>
        </w:rPr>
        <w:t>E. 4.2</w:t>
      </w:r>
    </w:p>
    <w:p>
      <w:r>
        <w:t>En l'espèce, l'appelant ne critique pas la quotité de sa peine, outre l'acquittement plaidé. Or, sa faute n'est pas anodine. Il s'en est pris à la pudeur personnelle d'autrui et a fait fi de ses refus répétés. Son mobile est éminemment égoïste. Sa prise de conscience, à l'instar de sa collaboration, est nulle. Son casier judiciaire est vierge, facteur neutre sur la peine. Au vu de ce qui précède, l'amende en CHF 500.- tient adéquatement compte de la situation financière de l'appelant et de sa faute. Elle sera partant confirmée, de même que les cinq jours de peine privative de liberté de substitution. En définitive, l'appel est rejeté et le jugement intégralement confirmé.</w:t>
      </w:r>
    </w:p>
    <w:p>
      <w:r>
        <w:rPr>
          <w:b/>
        </w:rPr>
        <w:t>E. 5</w:t>
      </w:r>
    </w:p>
    <w:p>
      <w:r>
        <w:t>L'appelant, qui succombe, supportera les frais de la procédure envers l'État (art. 428 CPP), lesquels comprendront un émolument d'arrêt de CHF 1'000.-. Il n'y a pas lieu de revoir la répartition des frais de première instance.</w:t>
      </w:r>
    </w:p>
    <w:p>
      <w:r>
        <w:rPr>
          <w:b/>
        </w:rPr>
        <w:t>E. 6</w:t>
      </w:r>
    </w:p>
    <w:p>
      <w:r>
        <w:t>Vu l'issue de l'appel, l'appelant sera débouté de ses conclusions en indemnisation (art. 429 CPP a contrario).</w:t>
      </w:r>
    </w:p>
    <w:p>
      <w:r>
        <w:rPr>
          <w:b/>
        </w:rPr>
        <w:t>E. 7</w:t>
      </w:r>
    </w:p>
    <w:p>
      <w:r>
        <w:t>7.1.1.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7.1.2.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w:t>
      </w:r>
    </w:p>
    <w:p>
      <w:r>
        <w:rPr>
          <w:b/>
        </w:rPr>
        <w:t>E. 7.2</w:t>
      </w:r>
    </w:p>
    <w:p>
      <w:r>
        <w:t>En appel, la partie plaignante obtient gain de cause, si bien que le principe de l'indemnisation de ses dépenses nécessaires pour la procédure d'appel lui est acquis. L'activité déployée est en adéquation avec la nature et la difficulté de l'affaire, étant précisé que l'avocat s'est constitué au stade de l'appel et a dû prendre connaissance du dossier. Ainsi, 4h00 dévolues globalement à l'étude du dossier ne semblent pas exagérées, de même que le temps consacré à la rédaction de la réponse à appel, étant précisé que le tarif horaire appliqué en CHF 300.- se situe légèrement en-deçà de la fourchette usuellement pratiquée. Au vu de ce qui précède, il sera fait droit aux prétentions de l'intimée et l'appelant sera condamné à lui verser la somme de CHF 3'243.-, TVA incluse, à titre d'indemnité pour ses dépenses obligatoires occasionnées par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