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P/23842/2019 vom 2. Dezember 2020</w:t>
      </w:r>
    </w:p>
    <w:p>
      <w:r>
        <w:t>GE Cour de justice, 2020-12-02, FR</w:t>
      </w:r>
    </w:p>
    <w:p>
      <w:r>
        <w:rPr>
          <w:b/>
        </w:rPr>
        <w:t xml:space="preserve">Quelle: </w:t>
      </w:r>
      <w:r>
        <w:t>https://mcp.opencaselaw.ch/entscheid/ge_gerichte_P_23842_2019</w:t>
      </w:r>
    </w:p>
    <w:p>
      <w:r>
        <w:t>FR: GE_GERICHTE P/23842/2019 du 2 décembre 2020</w:t>
      </w:r>
    </w:p>
    <w:p>
      <w:r>
        <w:t>IT: GE_GERICHTE P/23842/2019 del 2 dicembre 2020</w:t>
      </w:r>
    </w:p>
    <w:p>
      <w:pPr>
        <w:pStyle w:val="Heading2"/>
      </w:pPr>
      <w:r>
        <w:t>Regeste</w:t>
      </w:r>
    </w:p>
    <w:p>
      <w:r>
        <w:t>PLAINTE PÉNALE;VIOLATION DE DOMICILE | CP.30; CP.186; CP.66A</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l'auteur de l'infraction poursuivi pénalement (ATF 141 IV 380 consid. 2.3.4 p. 387). L'interprétation de l'infraction en cause permet seule de déterminer quel est le titulaire du bien juridique atteint (arrêt du Tribunal fédéral 6B_622/2008 du 13 janvier 2009 consid. 5.1). Le lésé est celui dont les droits ont été touchés directement par une infraction (art. 115 al. 1 CPP). Lorsque la norme protège un bien juridique individuel, la qualité de lésé appartient au titulaire de ce bien (ATF 138 IV 258 consid. 2.3 p. 263 ; ATF 129 IV 95 consid. 3.1 p. 98 s. ; ATF 126 IV 42 consid. 2a p. 43 s.). Pour déterminer si une personne est lésée par une infraction, il convient d'interpréter le texte de la disposition pour savoir qui est le titulaire du bien juridique que celle-ci protège (ATF 118 IV 209 , consid. 2 p. 211 ; arrêts du Tribunal fédéral 6B_960/2017 du 2 mai 2018 consid. 1.1 ; 6B_439/2016 du 21 avril 2017 consid. 2.1). Lorsque le lésé est une personne morale, la qualité pour porter plainte en son nom se détermine selon sa structure interne (ATF 117 IV 437 consid. 1a = JdT 1994 IV 38). Il s'agit en principe de l'organe qui a pour mission de veiller sur les intérêts lésés par l'infraction et dont les pouvoirs sont inscrits au Registre du commerce (ATF 118 IV 167 consid. 1b). Toutefois, même sans inscription, un organe peut être légitimé à déposer une plainte pénale, le facteur décisif étant qu'il doit être chargé de la défense des intérêts de la société en vertu de sa fonction et en accord avec la volonté de celle-ci (arrêts du Tribunal fédéral 6B_972/2008 du 16 février 2009 consid. 3.4 et 6B_762/2008 du 8 janvier 2009 consid. 3.5).</w:t>
      </w:r>
    </w:p>
    <w:p>
      <w:r>
        <w:rPr>
          <w:b/>
        </w:rPr>
        <w:t>E. 2.2</w:t>
      </w:r>
    </w:p>
    <w:p>
      <w:r>
        <w:t>Se rend coupable de violation de domicile au sens de l'art. 186 CP quiconque, d'une manière illicite et contre la volonté de l'ayant droit, aura pénétré dans une maison, dans une habitation, dans un local fermé faisant partie d'une maison, dans un espace, cour ou jardin clos et attenant à une maison, ou dans un chantier. Il s'agit d'un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128 IV 81 consid. 3a p. 84 ; 118 IV 167 consid. 1c p. 170 ; 112 IV 31 consid. 3 p. 33).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p. 170 ; 112 IV 33 consid. 3a p. 33).</w:t>
      </w:r>
    </w:p>
    <w:p>
      <w:r>
        <w:rPr>
          <w:b/>
        </w:rPr>
        <w:t>E. 2.3</w:t>
      </w:r>
    </w:p>
    <w:p>
      <w:r>
        <w:t>En l'espèce, il est constant et admis que l'appelant a pénétré dans un local fermé à clé, dans lequel seuls les employés de la plaignante avaient accès, et dans lequel celle-ci stockait son matériel de chantier que l'appelant a volé. Il s'est introduit dans ce local en s'emparant d'une clé dissimulée à proximité, dont l'usage était réservé aux seuls employés de la plaignante. Ainsi, nonobstant la formulation maladroite utilisée par cette dernière dans sa détermination du 17 septembre 2020, la maîtrise effective du local fermé appartenait exclusivement à la société qui avait déposé son matériel dans ce local et en avait ainsi, certes de façon temporaire, la jouissance exclusive. La fermeture du local au moyen d'une clé confirme que la jouissance de celui-ci avait été conférée à la plaignante dans un but précis - la conservation, en sécurité, du matériel nécessaire à l'exécution de son travail. Dans ces circonstances, le seul titulaire de la liberté de domicile dans ce local est la société plaignante, et non le maître d'ouvrage qui lui a cédé ce local. La plainte déposée l'a donc été valablement par le titulaire du droit de jouissance sur ce local.</w:t>
      </w:r>
    </w:p>
    <w:p>
      <w:r>
        <w:rPr>
          <w:b/>
        </w:rPr>
        <w:t>E. 2.4</w:t>
      </w:r>
    </w:p>
    <w:p>
      <w:r>
        <w:t>L'appelant se prévaut de son contrat de travail avec une autre entreprise pour nier toute violation de domicile, au motif qu'il aurait été autorisé à pénétrer sur le chantier. Il est douteux que sa qualité d'employé autorisé à se rendre sur le chantier pour y exécuter des tâches en lien avec son travail lui confère un droit général d'accéder à toute heure au chantier, surtout pour y commettre un vol. En tout état de cause, l'appelant fait abstraction des éléments relevés ci-dessus : le local dans lequel étaient stockés les outils qu'il a volés n'était pas libre d'accès. Il s'agissait d'un lieu clos, fermé à clé, et dont l'accès était limité aux employés de la plaignante. Nonobstant son droit d'accéder au chantier, l'appelant n'était pas autorisé à accéder à ce local particulier. Le vol n'a pas été commis de façon générale « sur le chantier », mais bien dans un local fermé. En soustrayant la clé de sa cachette pour pénétrer dans ce local et y commettre son méfait, l'appelant s'est rendu coupable de violation de domicile. Le verdict de culpabilité doit donc être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3.2</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pécuniaires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w:t>
      </w:r>
    </w:p>
    <w:p>
      <w:r>
        <w:rPr>
          <w:b/>
        </w:rPr>
        <w:t>E. 3.3</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Le juge doit fixer, pour toute infraction à juger, le genre et la mesure de la peine devant sanctionner les faits concernés. A cet égard, on ne saurait exiger du juge qu'il se place, de manière artificielle, dans la position d'un autre magistrat, en feignant d'ignorer les éléments antérieurs ou postérieurs à la décision précédente dont il a désormais connaissance. Une telle façon de procéder révélerait d'ailleurs rapidement ses limites (arrêt du Tribunal fédéral 6B_750/2019 du 11 juillet 2019, consid. 1.4.1).</w:t>
      </w:r>
    </w:p>
    <w:p>
      <w:r>
        <w:rPr>
          <w:b/>
        </w:rPr>
        <w:t>E. 3.4</w:t>
      </w:r>
    </w:p>
    <w:p>
      <w:r>
        <w:t>En l'espèce, l'appelant a commis un vol portant sur des outils de chantier de valeur, profitant d'une information apprise pendant son activité professionnelle lui ayant permis de mettre la main sur la clé ouvrant le local où ces appareils étaient stockés. Identifié par son propre employeur, il a immédiatement reconnu les faits et restitué la marchandise. Cela étant, cette restitution est intervenue grâce à l'intervention rapide et efficace de la police qui a permis de l'identifier, et ne procède nullement d'un geste spontané et gratuit de l'appelant mais plutôt d'une stratégie de réduction du risque et de mitigation du dommage causé et donc de la réparation qu'il aurait sinon dû fournir. Compte tenu de l'ensemble des circonstances, notamment de la valeur et du nombre d'objets volés, de leur restitution et des aveux, du mobile qui réside essentiellement dans l'appât du gain ainsi que de la situation personnelle de l'appelant qui n'explique ni n'excuse son geste - étant relevé qu'il était au bénéfice d'un emploi, certes limité dans le temps - la peine de 90 unités fixée par le premier juge apparaît adéquate voire clémente. Si la Cour de céans avait été amenée à juger à la fois des faits de novembre 2019 et de mai 2020, elle aurait constaté que les faits les plus graves, soit le vol consommé, encourent une peine de l'ordre de 80 jours-amende, laquelle doit être aggravée de 20 unités (peine théorique 30 unités) pour tenir compte de la violation de domicile concomitante, sanction à laquelle s'ajoutent les 30 jours-amende prononcés le 22 mai 2020. La peine complémentaire de 90 jours-amende prononcée par le premier juge, qui ne peut être aggravée conformément à l'art. 391 CPP, doit donc être confirmée. Le refus du sursis doit l'être également. Alors que la présente procédure était pendante et l'audience de première instance convoquée, et à moins d'un mois de celle-ci, il a tenté de commettre un nouveau vol d'outils sur un chantier, pour lequel il semble avoir bénéficié d'une grande clémence du MP qui a renoncé à retenir la violation de domicile et statué par ordonnance pénale. Contrairement à ce que soutient l'appelant, ces faits sont pertinents, au titre de son comportement pendant la procédure, pour examiner le pronostic quant à son comportement futur. Il avait de surcroît déjà été condamné à trois reprises avant les faits de la présente cause. Si sa première condamnation est relativement ancienne, elle ne l'a pas empêché de commettre d'autres infractions par la suite, à l'occasion desquelles il a bénéficié d'une certaine clémence (octroi du sursis en 2013 alors qu'il ne remplissait pas la condition objective de l'art. 42 CP), laquelle ne l'a pas non plus détourné de nouvelles infractions. Dans ces circonstances, force est de constater que les condamnations dont l'appelant a fait l'objet avec une certaine clémence par le passé ne lui ont pas permis de se conformer à l'ordre juridique. Il faut dès lors confirmer le pronostic défavorable posé par le premier juge quant à son comportement futur. La peine pécuniaire de 90 jours-amende doit ainsi être ferme. L'appel sera donc également rejeté sur ce point.</w:t>
      </w:r>
    </w:p>
    <w:p>
      <w:r>
        <w:rPr>
          <w:b/>
        </w:rPr>
        <w:t>E. 4</w:t>
      </w:r>
    </w:p>
    <w:p>
      <w:r>
        <w:t>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vol en lien avec une violation de domicile (let. d). L'expulsion de l'appelant doit ainsi être prononcée.</w:t>
      </w:r>
    </w:p>
    <w:p>
      <w:r>
        <w:rPr>
          <w:b/>
        </w:rPr>
        <w:t>E. 4.2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 cf . art. 30 al. 1 let. b ou 50 al. 1 let. b et 84 al. 5 LEI, ainsi que l'art. 14 de la loi sur l'asile [LAsi]).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6B_661/2019 du 12 septembre 2019 consid. 3.3.1 et références citées).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arrêts du Tribunal fédéral 6B_661/2019 du 12 septembre 2019 consid. 3.3.1 et 3.3.2 et référence citée). Lorsque la personne concernée a des enfants en bas âge (" Kinder im anpassungsfähigen Alter "), on peut attendre d'eux qu'ils s'intègrent facilement dans le pays de destination, étant relevé qu'ils suivent leurs parents en raison de considérations du droit de la famille (arrêt du Tribunal fédéral 6B_191/2020 du 17 juin 2020 consid. 1.7.2 ; les enfants du justiciable étaient nés en 2014 et 2016).</w:t>
      </w:r>
    </w:p>
    <w:p>
      <w:r>
        <w:rPr>
          <w:b/>
        </w:rPr>
        <w:t>E. 4.3</w:t>
      </w:r>
    </w:p>
    <w:p>
      <w:r>
        <w:t>En l'espèce, l'appelant se prévaut de la présence en Suisse de ses deux enfants, scolarisés à Genève sans être titulaires d'une autorisation de séjour, ainsi que de celle de sa compagne, et de son long séjour autorisé en Suisse. Il fait toutefois déjà l'objet d'une procédure administrative de non-renouvellement de son autorisation de séjour. Par ailleurs, l'appelant présente des antécédents répétés puisque quatre condamnations figurent à son casier judiciaire. Certes, la principale condamnation est ancienne (2010) ; cela étant, il s'agit d'une infraction particulièrement grave puisqu'il a été condamné à une peine privative de liberté de trois ans et demi. Les trois autres condamnations ne sont pas des délits mineurs, l'appelant ayant, à deux reprises, mis en danger la circulation routière en conduisant sans permis (dont une fois où il a bénéficié d'une grande clémence, dont il n'a pas su saisir la portée). Enfin, la condamnation prononcée en 2020 pour des faits survenus pendant la présente procédure démontre, comme déjà souligné ci-dessus, un manque flagrant de respect de l'ordre juridique suisse. Les liens de l'appelant avec notre pays sont par ailleurs relatifs, puisque son partenariat enregistré a été dissous et qu'il a, avant même cette dissolution, conçu deux enfants avec une ressortissante de son pays qui ne résidait pas en Suisse. Il a d'ailleurs demandé, en cours de procédure, à récupérer son passeport pour pouvoir passer ses vacances en Macédoine, nonobstant la période actuelle de pandémie. C'est dire que son centre d'intérêts ne se trouve de loin pas exclusivement en Suisse et qu'il a conservé d'importants liens avec son pays d'origine, où ses enfants sont nés et où ils sont encore officiellement domiciliés, tout comme leur mère. L'appelant n'est que relativement intégré professionnellement, puisque s'il est au bénéfice d'un emploi stable, il a néanmoins admis avoir été conduit à commettre le vol reproché en l'espèce pour des motifs pécuniaires liés à un manque de ressources. Au vu de l'ensemble de ces éléments, l'expulsion de Suisse du prévenu ne semble pas réaliser la première des deux conditions de l'art. 66a al. 2 CP, puisqu'elle ne le mettrait pas dans une situation personnelle grave dans la mesure où sa famille proche ne réside actuellement pas officiellement en Suisse et n'aura aucune difficulté à le suivre en Macédoine ; l'expulsion ne portera donc pas atteinte à la cellule familiale. En tout état de cause, et même s'il fallait retenir l'existence d'une situation personnelle grave, l'intérêt public à l'expulsion l'emporterait sur celui du prévenu à demeurer en Suisse. En effet, celui-ci a fait montre d'un grand mépris de l'ordre juridique suisse, s'en prenant à différents biens juridiques tels que la santé publique, la sécurité routière ou le bien d'autrui, et ce alors qu'il se savait déjà faire l'objet d'une procédure pénale dans laquelle il encourait une expulsion. Cela démontre le peu de respect qu'il entretient envers la société civile suisse.</w:t>
      </w:r>
    </w:p>
    <w:p>
      <w:r>
        <w:rPr>
          <w:b/>
        </w:rPr>
        <w:t>E. 4.4</w:t>
      </w:r>
    </w:p>
    <w:p>
      <w:r>
        <w:t>Il n'y a pas lieu d'étendre la mesure d'expulsion prononcée à l'ensemble de l'espace Schengen, une telle extension n'étant pas nécessaire pour garantir la sécurité publique.</w:t>
      </w:r>
    </w:p>
    <w:p>
      <w:r>
        <w:rPr>
          <w:b/>
        </w:rPr>
        <w:t>E. 5</w:t>
      </w:r>
    </w:p>
    <w:p>
      <w:r>
        <w:t>Les motifs ayant conduit le premier juge à prononcer le maintien des mesures de substitution par ordonnance séparée du 8 juin 2020 ne sont plus d'actualité, de sorte qu'elles seront levées.</w:t>
      </w:r>
    </w:p>
    <w:p>
      <w:r>
        <w:rPr>
          <w:b/>
        </w:rPr>
        <w:t>E. 6</w:t>
      </w:r>
    </w:p>
    <w:p>
      <w:r>
        <w:t>L'appelant, qui succombe, supportera les frais de la procédure envers l'Etat (art. 428 CPP).</w:t>
      </w:r>
    </w:p>
    <w:p>
      <w:r>
        <w:rPr>
          <w:b/>
        </w:rPr>
        <w:t>E. 7.1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il convient tout d'abord de relever que la procédure ayant été menée par écrit, il n'y a pas lieu d'indemniser une quelconque vacation. Ensuite, manifestement la durée d'activité facturée est disproportionnée. La rédaction de la déclaration d'appel (qui n'a pas à être motivée) est une activité entrant dans le forfait pour démarches diverses. Par ailleurs, quand bien même l'appel soulevait plusieurs questions juridiques, celles-ci l'avaient déjà été en première instance et le dossier n'est pas volumineux. Dans ces circonstances, une durée totale de huit heures (incluant la réplique) sera prise en compte pour l'ensemble de la procédure d'appel. En conclusion, la rémunération sera arrêtée à CHF 1'550.90 correspondant à huit heures d'activité au tarif de CHF 150.-/heure plus la majoration forfaitaire de 20% et l'équivalent de la TVA au taux de 7.7% en CHF 110.90.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