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P/23827/2020 vom 11. November 2021</w:t>
      </w:r>
    </w:p>
    <w:p>
      <w:r>
        <w:t>GE Cour de justice, 2021-11-11, FR</w:t>
      </w:r>
    </w:p>
    <w:p>
      <w:r>
        <w:rPr>
          <w:b/>
        </w:rPr>
        <w:t xml:space="preserve">Quelle: </w:t>
      </w:r>
      <w:r>
        <w:t>https://mcp.opencaselaw.ch/entscheid/ge_gerichte_P_23827_2020</w:t>
      </w:r>
    </w:p>
    <w:p>
      <w:r>
        <w:t>FR: GE_GERICHTE P/23827/2020 du 11 novembre 2021</w:t>
      </w:r>
    </w:p>
    <w:p>
      <w:r>
        <w:t>IT: GE_GERICHTE P/23827/2020 del 11 novembre 2021</w:t>
      </w:r>
    </w:p>
    <w:p>
      <w:pPr>
        <w:pStyle w:val="Heading2"/>
      </w:pPr>
      <w:r>
        <w:t>Regeste</w:t>
      </w:r>
    </w:p>
    <w:p>
      <w:r>
        <w:t>DISPOSITIONS PÉNALES DE LA LCR;VIOLATION DES RÈGLES DE LA CIRCULATION;CONTRAVENTION;NATURE CASSATOIRE;IN DUBIO PRO REO;AVEU;PRINCIPE DE LA CONFIANCE(RÈGLE DE LA CIRCULATION);AMENDE | LCR.90.al1; LCR.34.al3; LCR.35; LCR.36.al1; LCR.39.al1; LCR.26.al1; LOJ.129.al4; CPP.409.al1; CP.106</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le ou la magistrat(e) exerçant la direction de la procédure de la juridiction d'appel est compétent(e) pour statuer.</w:t>
      </w:r>
    </w:p>
    <w:p>
      <w:r>
        <w:rPr>
          <w:b/>
        </w:rPr>
        <w:t>E. 2</w:t>
      </w:r>
    </w:p>
    <w:p>
      <w:r>
        <w:t>2.1.1.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Le libre pouvoir de cognition dont elle dispose en droit confère cependant à l’autorité cantonale la possibilité, si cela s’avère nécessaire pour juger du bien-fondé ou non de l’application de la disposition légale, d’apprécier des faits que le premier juge a omis d’examiner, lorsque ceux-ci se révèlent pertinents (arrêt du Tribunal fédéral 6B_1247/2013 du 13 mars 2014 consid. 1.3). 2.1.2. Conformément à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qu'un nouveau jugement soit rendu. En règle générale, il appartient à la juridiction d'appel de corriger les erreurs commises par le tribunal de première instance dans l'établissement des faits et l'application du droit ( cf. art. 408 CPP). Eu égard au caractère réformateur de la procédure d'appel, la cassation doit rester l'exception. L'art. 409 CPP s'applique lorsque les erreurs affectant la procédure ou le jugement de première instance sont si graves – et ne peuvent être corrigées – que le renvoi au juge de première instance est la seule solution pour respecter les droits des parties, principalement pour éviter la perte d'une instance. Il n'en va guère ainsi qu'en cas de déni des droits de participation à la procédure ou encore de violation crasse des droits de la défense (ATF 143 IV 408 consid. 6.1 p. 412 s. ; arrêt du Tribunal fédéral 6B_461/2018 du 24 janvier 2019 consid. 4.1). 2.1.3. L'art. 6 par. 3 let. d de la convention de sauvegarde des droits de l’homme et des libertés fondamentales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arrêt du Tribunal fédéral 6B_238/2020 du 14 décembre 2020 consid. 3.1). En tant qu'elle concrétise le droit d'être entendu (art. 29 al. 2 de la constitution fédérale de la Confédération suisse [Cst.]), cette exigence est également garantie par l'art. 32 al. 2 Cst. (ATF 144 II 427 consid. 3.1.2 p. 435 ; 131 I 476 consid. 2.2 p. 480). Ce droit est absolu lorsque la déposition du témoin en cause est d'une importance décisive, notamment lorsque l'intéressé est le seul témoin ou que sa déposition constitue une preuve essentielle (ATF 131 I 476 consid. 2.2 ; arrêt du Tribunal fédéral 6B_238/2020 du 14 décembre 2020 consid. 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(arrêts du Tribunal fédéral 6B_1310/2016 du 13 décembre 2017 consid. 2.1 ; 6B_956/2016 du 19 juillet 2017 consid. 2.3.1 ; 6B_947/2015 du 29 juin 2017 consid. 5.5.1 ; 6B_456/2011 du 27 décembre 2011 consid. 1.1).</w:t>
      </w:r>
    </w:p>
    <w:p>
      <w:r>
        <w:rPr>
          <w:b/>
        </w:rPr>
        <w:t>E. 2.2</w:t>
      </w:r>
    </w:p>
    <w:p>
      <w:r>
        <w:t>En l'espèce, l'appelant a été informé, au plus tard juste avant la tenue de l'audience, que le témoin D______ serait entendu, alors même qu'il n'existe pas de droit à savoir qui va être interrogé en tant que témoin et quel est l'objet de la déposition (arrêt du Tribunal fédéral 6B_800/2016 du 25 octobre 2017 consid. 4.3 non publié aux ATF 143 IV 397 , ceci même si une partie de la doctrine considère qu'une telle information ressort du droit de participation à l'administration des preuves). Le droit d'être entendu de l'appelant a été respecté et un procès équitable lui a été assuré, dans la mesure où l'état de fait sur lequel il allait se prononcer et être interrogé lui était forcément connu par avance et était limité à un complexe de faits réduit, de sorte qu'il avait pu se préparer sans être pris par surprise, d'autant que l'essentiel des déclarations du témoin D______ figurent dans le rapport de police. A l'ouverture des débats, le prévenu, avocat de formation et assisté de son conseil, n'a pas sollicité de report et n'a posé aucune question préjudicielle. Il a ensuite eu tout le loisir d'interroger le témoin en confrontation, ce que son avocat n'a pas manqué de faire. L'appelant a par ailleurs été réentendu à la suite du témoignage D______, lequel correspond à celui du gendarme ainsi que, pour l'essentiel, à la version des faits recueillie par les policiers et qui figure dans le rapport de renseignements du 6 octobre 2020. Au demeurant, le prévenu a eu de multiples occasions de se déterminer s'agissant des faits qui lui étaient reprochés, déclarations dont la CPAR ne manquera pas d'apprécier la crédibilité à l'aune de tous les éléments du dossier, en particulier du témoignage de l'agent de police, et non pas exclusivement à la lumière des explications du témoin D______. Il résulte de ce qui précède que la procédure de première instance a bien revêtu un caractère équitable et n'est affectée d'aucun vice. Il n'y a ainsi pas lieu de renvoyer la cause au premier juge, laquelle est en état d'être jugée. Il n'apparaît pas plus que la production de preuves nouvelles devant le premier juge serait de nature à influer sur le sort de la cause. En effet, tout au long de la procédure, le prévenu, qui n'a pas sollicité l'administration de nouvelles preuves à l'issue de l'audience de première instance, a versé de nombreuses pièces, en particulier de multiples photographies, des vidéos (visionnées au cours de l'audience de jugement), un croquis rectifié du lieu de l'accident, ainsi qu'un cliché de la rue de Saint-Victor et de ses environs pris en mode satellite, si bien que l'on peine à percevoir la pertinence des preuves complémentaires qu'il souhaiterait faire administrer, à savoir des prises de vue effectuées au même endroit au moyen d'un drone.</w:t>
      </w:r>
    </w:p>
    <w:p>
      <w:r>
        <w:rPr>
          <w:b/>
        </w:rPr>
        <w:t>E. 3</w:t>
      </w:r>
    </w:p>
    <w:p>
      <w:r>
        <w:t>3.1.1. Le principe in dubio pro reo découle de la présomption d'innocence, garantie par l'art. 6 ch. 2 CEDH et, sur le plan interne, par les art. 32 al. 1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6B_1306/2017 du 17 mai 2018 consid. 2.1.1). 3.1.3.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3.2</w:t>
      </w:r>
    </w:p>
    <w:p>
      <w:r>
        <w:t>Celui qui viole les règles de la circulation prévues par la présente loi ou par les dispositions d'exécution émanant du Conseil fédéral est puni de l'amende (art. 90 al. 1 LCR).</w:t>
      </w:r>
    </w:p>
    <w:p>
      <w:r>
        <w:rPr>
          <w:b/>
        </w:rPr>
        <w:t>E. 3.2.1</w:t>
      </w:r>
    </w:p>
    <w:p>
      <w:r>
        <w:t>Le conducteur qui veut modifier sa direction de marche, par exemple pour obliquer, dépasser, se mettre en ordre de présélection ou passer d'une voie à l'autre, est tenu d'avoir égard aux usagers de la route qui viennent en sens inverse ainsi qu'aux véhicules qui le suivent (art. 34 al. 3 LCR). Selon l'art. 35 LCR, celui qui dépasse doit avoir particulièrement égard aux autres usagers de la route, notamment à ceux qu’il veut dépasser (al. 3). Le dépassement d’un véhicule est interdit notamment lorsque le conducteur manifeste son intention d’obliquer à gauche (al. 5 ; ATF 97 IV 36 ). Le conducteur qui veut obliquer à droite serrera le bord droit de la chaussée, celui qui veut obliquer à gauche se tiendra près de l’axe de la chaussée (art. 36 al. 1 LCR).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(art. 39 al. 1 let. a LCR).</w:t>
      </w:r>
    </w:p>
    <w:p>
      <w:r>
        <w:rPr>
          <w:b/>
        </w:rPr>
        <w:t>E. 3.2.2</w:t>
      </w:r>
    </w:p>
    <w:p>
      <w:r>
        <w:t>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Seul celui qui s'est comporté réglementairement peut invoquer le principe de la confiance. Celui qui viole des règles de la circulation et crée ainsi une situation confuse ou dangereuse ne peut pas attendre des autres qu'ils pallient ce danger par une attention accrue. Cette restriction n'est cependant plus applicable lorsque savoir si l'usager a violé une règle de la circulation dépend précisément de la mesure dans laquelle il pouvait se fonder sur le comportement de l'autre usager (ATF 125 IV 83 consid. 2b p. 87 = JdT 1999 I 854 ; arrêt du Tribunal fédéral 6S.325/2006 du 3 novembre 2006 consid. 2.2 = JdT 2006 I 434). Le principe de la confiance peut en principe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manœuvre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manœuvre gène la fluidité du trafic et crée une situation de nature à accroître le risque d'accidents en particulier pour les usagers arrivant de l'arrière (ATF 125 IV 83 consid. 2c p. 88 = JdT 1999 I 854 ; arrêt du Tribunal fédéral 6S.325/2006 du 3 novembre 2006 consid. 2.2 = JdT 2006 I 434). La manoeuvre consistant à obliquer à gauche doit en particulier être effectuée avec les plus grandes précautions, parce que les intentions de celui qui oblique, même dûment signalées, peuvent aisément échapper aux autres usagers ou être mal comprises (ATF 100 IV 186 consid. 2a p. 187). Néanmoins, lorsque le conducteur s’est mis correctement en ordre de présélection et a enclenché son indicateur de direction gauche, il peut – sans être tenu de prêter attention une nouvelle fois, au moment où il oblique, au trafic qui le suit – compter en règle générale qu’aucun usager de la route ne le dépassera illicitement par la gauche (ATF 125 IV 83 consid. 2d = JdT 1999 I 854).</w:t>
      </w:r>
    </w:p>
    <w:p>
      <w:r>
        <w:rPr>
          <w:b/>
        </w:rPr>
        <w:t>E. 3.3</w:t>
      </w:r>
    </w:p>
    <w:p>
      <w:r>
        <w:t>En l'espèce, les propos du prévenu et de D______ concordent sur le fait qu'un choc a eu lieu entre l'aile avant gauche de la B______, qui se trouvait au milieu de la rue de Saint-Victor en diagonale (l'avant gauche dirigé vers la gauche de la route), et l'avant droit de la C______, ce qui est établi au vu des éléments du dossier. Toutefois, si le premier affirme désormais avoir été heurté, alors qu'il circulait au milieu de la chaussée en direction de la rue 1______, le second soutient que l'appelant, qui était arrêté sur le côté droit de la chaussée, avait obliqué à gauche sans clignotant au moment même où il l'avait dépassé par la gauche. La version présentée par D______ est constante et corroborée par les pièces du dossier et dans l'ensemble par les propres déclarations initiales du prévenu, tel que cela ressort du constat de police et du témoignage du gendarme E______, mais également crédible, quoi qu'en dise l'appelant. Le précité fait en effet grand cas du fait que l'espace entre sa voiture et la gauche de la chaussée aurait été insuffisant pour permettre un dépassement par la gauche. Or, il perd de vue que, selon la version du témoin, l'emplacement de son véhicule, tel qu'il se trouve sur les photographies et le croquis, n'est pas celui qu'il occupait – vraisemblablement plus à droite – au moment où ledit témoin avait entrepris sa manœuvre, rendant ainsi possible un éventuel dépassement par la gauche. Dans tous les cas, la distance calculée de 6 m de chaussée " carrossable " ne tient pas compte des places de stationnement (ou des extrémités de places) inoccupées sur lesquelles il est tout à fait admissible de circuler ( cf. art. 1 al. 4 de l'ordonnance sur les règles de la circulation routière [OCR] et ATF 91 IV 37 = JdT 1965 I 418). S'ajoute à ce qui précède le fait que les dégâts du véhicule de D______ se situent sur l'avant à droite au-dessus de la roue et à la portière droite et pas sur le devant stricto sensu , ce qui tend à prouver que le choc est survenu alors que ce véhicule était déjà en dépassement et que ce n'est pas la C______ qui a percuté la B______. De surcroît, l'on peine à comprendre les raisons qui auraient poussé D______ à entamer un dépassement sur la gauche si l'appelant était en train de circuler au beau milieu de la route en diagonale. Contrairement au témoin D______, les déclarations de l'appelant ne sont ni claires ni constantes, ne reflétant qu'une adaptation aux éléments du dossier et pour les besoins de la cause. D'après lui, l'inclinaison de son véhicule vers la gauche de la chaussée serait la conséquence de sa trajectoire depuis la rue François-Bellot. Or, il ressort des photographies qu'il a produites qu'au moment du choc, la B______ était bien plus inclinée que la moyenne des véhicules provenant de la même rue (environ 45° contre 70°), élément qui tend plutôt à confirmer que le prévenu était en train d'obliquer pour se stationner à gauche au moment de la collision, mais alors que la C______ le dépassait déjà. De même, sa roue avant droite était orientée vers la gauche, étant précisé que la direction opposée de sa roue avant gauche peut aisément s'expliquer par la violence de la collision. Au vu de leur absence de crédibilité, les déclarations de l'appelant seront écartées. Il en résulte que les éléments au dossier constituent un faisceau d'indices suffisamment fort pour que les faits tels que rapportés par D______ soient retenus. Aussi, il est établi que l'appelant recherchait une place de stationnement aux alentours de la rue 1______, ce qu'il admet. Après avoir repéré une place (libre, voire sur le point d'être libérée) en bataille sur la gauche de la rue de Saint-Victor, il a, en marquant un temps d'arrêt, pris une empare sur la droite de la chaussée laissant sur sa gauche une place de passage suffisante pour un autre véhicule. Peu importe à cet effet que toutes les places soient occupées sur les photographies au dossier, dès lors, à nouveau, que ces dernières ne sont pas le reflet exact de la situation qui prévalait au moment des faits. Fort de ce constat, D______, qui remontait cette même rue, a estimé qu'il avait suffisamment d'espace – disposant de plus de 4 m – et de temps – il roulait en dessus de la limite autorisée des 20 km/h, comme il l'a lui-même admis – pour le doubler par la gauche. Or, à ce même instant l'appelant a obliqué à gauche afin de se garer, ceci sans vérifier dans son rétroviseur qu'il pouvait effectuer cette manœuvre sans danger ni enclencher son indicateur de direction, ce qu'il a admis à demi-mot à E______ en relevant qu'il ignorait s'il l'avait fait. Compte tenu de la manœuvre que l'appelant envisageait d'effectuer, propre à surprendre les véhicules venant de l'arrière, des mesures de contrôles stricts s'imposaient avant d'obliquer, afin de préalablement s'assurer de l'absence de tout véhicule, notamment dans l'angle mort. Or, force est de constater qu'au vu du tracé rectiligne de la route sur plusieurs centaines de mètres et de la bonne visibilité au moment de l'accident, la C______ était visible sans qu'il ne faille porter une extrême attention dans sa direction. Ainsi, l'appelant, s'il avait vérifié sur sa gauche comme attendu, ne pouvait que voir arriver l'autre conducteur, ceci même en admettant que ce dernier roulait à une allure excessive. A l'instar du premier juge, qui n'est nullement tombé dans l'arbitraire dans son appréciation des faits, il doit ainsi être retenu que l'appelant a agi sans égard pour une voiture venant de l'arrière, violant de la sorte les obligations découlant des art. 26 al. 1 et 34 al. 3 LCR. Il s'est ainsi rendu coupable de violation simple des règles de la circulation (art. 90 al. 1 LCR). Dans ces conditions, l'appelant, qui n'a pas correctement manifesté sa volonté de tourner à gauche, ne saurait invoquer le principe de la confiance, qui permet au conducteur de compter que les autres usagers respecteront leurs devoirs de prudence, dès lors déjà que l'application de ce principe présuppose que le conducteur se comporte lui-même correctement. Partant, le jugement sera confirmé et l'appel rejeté sur ce point.</w:t>
      </w:r>
    </w:p>
    <w:p>
      <w:r>
        <w:rPr>
          <w:b/>
        </w:rPr>
        <w:t>E. 4</w:t>
      </w:r>
    </w:p>
    <w:p>
      <w:r>
        <w:t>4.1 . A teneur de l'art. 106 du code pénal suisse (CP), sauf disposition contraire de la loi, le montant maximum de l'amende est de CHF 10'000.- (al. 1). Celle-ci, de même que la peine privative de liberté de substitution, doit être fixée en tenant compte de la situation de l'auteur afin que la peine corresponde à la faute commise (al. 3). A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p. 215 ; 119 IV 330 consid. 3 p. 337). La situation économique déterminante est celle de l'auteur au moment où l'amende est prononcée (arrêt du Tribunal fédéral 6B_547/2012 du 26 mars 2013 consid. 3.4). Un jour de peine privative de liberté de substitution (art. 106 al. 2 CP) correspond schématiquement à CHF 100.- d'amende (R. ROTH / L. MOREILLON [éds], Code pénal I : art. 1-100 CP , Bâle 2009, n. 19 ad art. 106).</w:t>
      </w:r>
    </w:p>
    <w:p>
      <w:r>
        <w:rPr>
          <w:b/>
        </w:rPr>
        <w:t>E. 4.2</w:t>
      </w:r>
    </w:p>
    <w:p>
      <w:r>
        <w:t>En l'espèce, la faute du prévenu, si elle est relativement légère, a toutefois eu des conséquences matérielles importantes sur son véhicule et celui de D______, lequel a également été sanctionné pour son inattention. Les mobiles du prévenu relèvent de la pure désinvolture vis-à-vis de la sécurité d'autrui et des règles instaurées par la loi fédérale sur la circulation routière. Aucune circonstance atténuante au sens de l'art 48 CP n'est réalisée ni d'ailleurs plaidée. La collaboration du prévenu a été relativement médiocre, dès lors qu'il a persisté à contester toute responsabilité dans la survenance de cet accident, rejetant la faute sur l'autre automobiliste, ce qui atteste qu'il n'a manifestement pas pris conscience de la gravité de ses actes. L'appelant n'a pas d'antécédent judiciaire, facteur neutre sur la fixation de sa peine (ATF 136 IV I consid. 2.6.4). Compte tenu des éléments exposés ci-dessus et de la situation qui est celle de l'appelant, le montant de CHF 600.-, fixé par le premier juge, en soi non contesté par l'appelant, consacre une application correcte de l'art. 106 al. 3 CP et sera confirmé, dès lors que cette sanction apparaît à la fois dissuasive et adaptée à sa situation personnelle. Il en va de même de la peine privative de liberté de substitution qui sera arrêtée à six jours, par référence à un taux de conversion de CHF 100.-/jour usuellement appliqué. Par conséquent, l'appel sera rejeté également sur ce point et le jugement entrepris confirmé.</w:t>
      </w:r>
    </w:p>
    <w:p>
      <w:r>
        <w:rPr>
          <w:b/>
        </w:rPr>
        <w:t>E. 5</w:t>
      </w:r>
    </w:p>
    <w:p>
      <w:r>
        <w:t>5.1.1. Selon l'art. 426 al. 1 CPP, le prévenu supporte les frais de procédure de première instance s'il est condamné. 5.1.2. En l'espèce, si le premier juge n'a pas suivi les conclusions prises par le SDC, en fixant l'amende à CHF 600.- au lieu de CHF 1'240.-, montant qu'il a vraisemblablement estimé plus approprié à la faute ainsi qu'à la situation financière de l'appelant, ce dernier ne peut en tirer une quelconque violation de l'art. 426 al. 1 CPP, dans la mesure où il n'a fait l'objet d'aucun acquittement. Sa condamnation à la totalité des frais de première instance est dès lors conforme aux dispositions applicables et sera confirmée.</w:t>
      </w:r>
    </w:p>
    <w:p>
      <w:r>
        <w:rPr>
          <w:b/>
        </w:rPr>
        <w:t>E. 5.2</w:t>
      </w:r>
    </w:p>
    <w:p>
      <w:r>
        <w:t>L'appelant, qui succombe devant la CPAR, supportera les frais de la procédure d'appel envers l'Etat, lesquels comprennent un émolument de CHF 1'500.- (art. 428 CPP et art. 14 al. 1 let. e du règlement fixant le tarif des frais en matière pénale [RTFMP]).</w:t>
      </w:r>
    </w:p>
    <w:p>
      <w:r>
        <w:rPr>
          <w:b/>
        </w:rPr>
        <w:t>E. 6</w:t>
      </w:r>
    </w:p>
    <w:p>
      <w:r>
        <w:t>6.1.1. La question de l'indemnisation du prévenu (art. 429 CPP) doit être traitée en relation avec celle des frais. Si le prévenu supporte les frais en application de l'art. 426 al. 1 ou 2 CPP, une indemnité est en règle générale exclue (ATF 137 IV 352 consid. 2.4.2 p. 357 ; arrêt 6B_187/2015 du 28 avril 2015 consid. 6.1.2). 6.1.2. Par identité de motifs ( cf. supra 5.1.2), l'appelant n'a pas droit à une indemnité pour ses frais d'avocat pour la procédure de première instance, étant précisé que les frais y afférant ont été mis à sa charge.</w:t>
      </w:r>
    </w:p>
    <w:p>
      <w:r>
        <w:rPr>
          <w:b/>
        </w:rPr>
        <w:t>E. 6.2</w:t>
      </w:r>
    </w:p>
    <w:p>
      <w:r>
        <w:t>Compte tenu de l'issue de l'appel, le prévenu sera débouté de ses conclusions en indemnisation pour la procédure en appel (art. 429 CPP a contrario ). Cela étant, même s'il avait obtenu gain de cause, le caractère raisonnable du recours à un avocat n'apparaîtrait pas réalisé en l'espèce au vu de la qualité de l'appelant et de la non complexité des faits, ne présentant aucune difficulté particulière au point que l'assistance d'un avocat fut nécessaire, de sorte que ses conclusions en indemnisation auraient été également rejetées ( cf. arrêt du Tribunal fédéral 6B_603/2014 du 9 janvier 2015 consid. 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