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P/23793/2017 vom 19. August 2024</w:t>
      </w:r>
    </w:p>
    <w:p>
      <w:r>
        <w:t>GE Cour de justice, 2024-08-19, FR</w:t>
      </w:r>
    </w:p>
    <w:p>
      <w:r>
        <w:rPr>
          <w:b/>
        </w:rPr>
        <w:t xml:space="preserve">Quelle: </w:t>
      </w:r>
      <w:r>
        <w:t>https://mcp.opencaselaw.ch/entscheid/ge_gerichte_P_23793_2017</w:t>
      </w:r>
    </w:p>
    <w:p>
      <w:r>
        <w:t>FR: GE_GERICHTE P/23793/2017 du 19 août 2024</w:t>
      </w:r>
    </w:p>
    <w:p>
      <w:r>
        <w:t>IT: GE_GERICHTE P/23793/2017 del 19 agosto 2024</w:t>
      </w:r>
    </w:p>
    <w:p>
      <w:pPr>
        <w:pStyle w:val="Heading2"/>
      </w:pPr>
      <w:r>
        <w:t>Regeste</w:t>
      </w:r>
    </w:p>
    <w:p>
      <w:r>
        <w:t>IN DUBIO PRO REO;LÉSION CORPORELLE SIMPLE;VIOLENCE CONTRE LES AUTORITÉS;VOIES DE FAIT;INFRACTIONS CONTRE L'HONNEUR;EXCÈS;LÉGITIME DÉFENSE;FIXATION DE LA PEINE;CONCOURS D'INFRACTIONS;SURSIS À L'EXÉCUTION DE LA PEINE;TORT MORAL | CP.123.al1; CP.285.al1; CP.126; CP.173.al1; CP.15; CP.16; CP.47; CP.49.al1; CP.49.al2; CP.42.al4; CP.106; CP.122.al1; CO.47; CO.49</w:t>
      </w:r>
    </w:p>
    <w:p>
      <w:pPr>
        <w:pStyle w:val="Heading2"/>
      </w:pPr>
      <w:r>
        <w:t>Erwägungen</w:t>
      </w:r>
    </w:p>
    <w:p>
      <w:r>
        <w:rPr>
          <w:b/>
        </w:rPr>
        <w:t>E. 1.1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Jusqu’au 31 décembre 2023, l’avocat qui contestait son indemnisation devait former un recours devant la CPR, aux conditions de l’art. 393 CPP. Toutefois, lorsque la partie défendue par cet avocat formait également appel, le recours devait être traité par la juridiction d’appel (ATF 140 IV 213 consid. 1.4 ; ATF 139 IV 199 consid. 5.6). En l’occurrence, le défenseur d’office a rédigé une écriture intitulée « appel » et adressée à la CPAR. Cette écriture répond aux exigences de l’art. 393 CPP, et la juridiction de céans est compétente pour traiter de ce recours au vu de l’appel formé en parallèle. Le recours est donc également recevable.</w:t>
      </w:r>
    </w:p>
    <w:p>
      <w:r>
        <w:rPr>
          <w:b/>
        </w:rPr>
        <w:t>E. 1.3</w:t>
      </w:r>
    </w:p>
    <w:p>
      <w:r>
        <w:t>L’avocat recourant a sollicité d’être autorisé à consulter la « décision du GAJ », à compléter son recours et pouvoir répliquer. Or, il n’existe pas de décision du GAJ, lequel fournit simplement une aide à la décision du premier juge : la décision d’indemnisation est prise et motivée dans le jugement entrepris. Il n’y a donc pas à ordonner un tel apport, en l’absence de décision et de pertinence de cette conclusion. Un complément au recours n’entre pas en ligne de compte, le délai de l’art. 393 CPP n’étant pas prolongeable (art. 89 al. 1 CPP). Le MP s’en étant rapporté à justice et une réponse du TP n’ayant pas été requise, il n’y a pas place pour une réplique.</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Dans le cadre du principe de libre appréciation des preuves, qui gouverne notamment celle des déclarations de la victime d'une infraction (arrêts du Tribunal fédéral 6B_716/2010 du 15 novembre 2010 consid. 1.3 ; 6B_360/2008 du 12 novembre 2008 consid. 4.3), rien ne s'oppose à ce que le juge ne retienne qu'une partie des déclarations d'un témoin globalement crédible (ATF 120 Ia 31 consid. 3 p. 39 ; arrêt du Tribunal fédéral 6B_637/2012 du 21 janvier 2013 consid. 5.4).</w:t>
      </w:r>
    </w:p>
    <w:p>
      <w:r>
        <w:rPr>
          <w:b/>
        </w:rPr>
        <w:t>E. 2.2</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2.3</w:t>
      </w:r>
    </w:p>
    <w:p>
      <w:r>
        <w:t>Selon l’art. 123 ch. 1 CP, dans sa teneur en vigueur au moment des faits, quiconque, intentionnellement, fait subir à une personne une autre atteinte à l’intégrité corporelle ou à la santé est puni sur plainte d’une peine privative de liberté de trois ans au plus ou d’une peine pécuniaire. Dans les cas de peu de gravité, le juge pourra atténuer la peine (art. 48a).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w:t>
      </w:r>
    </w:p>
    <w:p>
      <w:r>
        <w:rPr>
          <w:b/>
        </w:rPr>
        <w:t>E. 2.4</w:t>
      </w:r>
    </w:p>
    <w:p>
      <w:r>
        <w:t>Selon l’art. 285 ch. 1 CP, dans sa teneur en vigueur au moment des faits, quiconque,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(art. 285 ch. 1 1 ère phrase aCP). L’art. 285 CP réprime deux infractions différentes: la contrainte contre les autorités ou les fonctionnaires et les voies de fait contre ceux-ci (arrêts du Tribunal fédéral 6B_366/2021 du 26 janvier 2022 consid. 3.1 ; 6B_1191/2019 du 4 décembre 2019 consid. 3.1 ; 6B_863/2015 du 15 mars 2016 consid. 1.1).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 3 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 n. 5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L'art. 285 CP n'est pas applicable si l'auteur règle un compte privé avec le fonctionnaire, mais à un moment où celui-ci est en fonction (ATF 110 IV 91 consid. 2).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w:t>
      </w:r>
    </w:p>
    <w:p>
      <w:r>
        <w:rPr>
          <w:b/>
        </w:rPr>
        <w:t>E. 2.5</w:t>
      </w:r>
    </w:p>
    <w:p>
      <w:r>
        <w:t>Selon l’art. 173 ch.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Les délits contre l'honneur sont des délits de mise en danger abstrait. Ils sont consommés dès qu'un tiers prend connaissance de la déclaration portant atteinte à l'honneur (ATF 103 IV 22 consid. 7 p. 23 ; arrêts du Tribunal fédéral 6B_491/2013 du 4 février 2014 consid. 5.2.1 et 6B_106/2012 du 26 septembre 2012 consid. 4). Est en principe un tiers au sens des art. 173 CP toute personne autre que l'auteur et l'objet des propos qui portent atteinte à l'honneur, par exemple l'avocat de l'auteur, les magistrats (ATF 86 IV 209 et références citées ; arrêt du Tribunal fédéral 6B_491/2013 du 4 février 2014 consid. 5.2.1) ou encore les enfants de l'auteur (ATF 96 IV 194 ; arrêt du Tribunal fédéral 6B_491/2013 du 4 février 2013 consid. 5.2.1). La personne dont l'honneur est visé n'a pas à être désignée, il suffit qu'elle soit reconnaissable, respectivement identifiable (ATF 124 IV 262 consid. 2a p. 266 ss ; 117 IV 27 consid. 2c p. 29 ; arrêt du Tribunal fédéral 6B_491/2013 du 4 février 2013 consid. 5.2.1). Il n'est pas nécessaire que plusieurs personnes la reconnaissent. Il suffit que l'un des destinataires de la déclaration le puisse ("un tiers", art. 173 ch. 1 CP ; arrêt du Tribunal fédéral 6B_491/2013 du 4 février 2014 consid. 5.2.1 ; B. CORBOZ, Les infractions en droit suisse, vol. II, 3 e éd., Berne 2010, n. 39 ad art. 175 CP). Cette question est examinée en tenant compte non seulement des informations contenues dans la déclaration litigieuse, mais également des circonstances connues ou à disposition du tiers qui la reçoit (ATF 117 IV 27 consid. 2d p. 30 ; 99 IV 148 consid. 1 p. 149 ; arrêts du Tribunal fédéral 6B_491/2013 du 4 février 2014 consid. 5.2.1 ; 6S_504/2005 du 28 février 2006 consid. 1.2 ; 6S_862/2000 du 20 mars 2001 consid. 1b).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128 IV 53 consid. 1a p. 58). Il faut donc que l'atteinte fasse apparaître la personne visée comme méprisable, qu'il s'agisse d'un être humain ou d'une entité juridique (ATF 114 IV 14 consid. 2a p. 15 et les références).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 ATF 128 IV 53 consid. 1a p. 57 s. et les références ; arrêt du Tribunal fédéral 6B_441/2016 du 29 mars 2017 consid. 4.1). Pour apprécier si une déclaration est attentatoire à l'honneur, il faut se fonder non pas sur le sens que lui donne la personne visée, mais sur une interprétation objective selon le sens qu'un destinataire non prévenu doit, dans les circonstances d'espèce, lui attribuer. En matière d'infractions contre l'honneur, les mêmes termes n'ont pas nécessairement la même portée suivant le contexte dans lequel ils sont employés (ATF 148 IV 409 consid. 2.3.2 ; 145 IV 462 consid. 4.2.3 ; 118 IV 248 consid. 2b). La diffamation suppose une allégation de fait, et non pas un simple jugement de valeur (ATF 137 IV 313 consid. 2.1.2 p. 315 ; 117 IV 27 consid. 2c p. 29).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"je considère",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 A ainsi été considéré comme allégation de fait à caractère mixte, constitutive en l’occurrence de calomnie au sens de l’art. 174 CP, le fait de dire de quelqu’un qu’il « adore poignarder les gens dans le dos et obtenir une sorte de plaisir pervers » (arrêt du Tribunal fédéral 6B_395/2009 du 20 octobre 2009). Du point de vue subjectif, il suffit que l'auteur ait eu conscience du caractère attentatoire à l'honneur de ses propos et qu'il les ait néanmoins proférés ; il n'est pas nécessaire qu'il ait eu la volonté de blesser la personne visée (ATF 119 IV 44 consid. 2a p. 47).</w:t>
      </w:r>
    </w:p>
    <w:p>
      <w:r>
        <w:rPr>
          <w:b/>
        </w:rPr>
        <w:t>E. 2.6</w:t>
      </w:r>
    </w:p>
    <w:p>
      <w:r>
        <w:t>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 e éd., Genève/Bâle/ Zurich 2011, n. 555, p. 189).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p. 56 ; arrêts du Tribunal fédéral 6B_6/2017 du 28 février 2018 consid. 4.1 ; 6B_585/2016 du 7 décembre 2016 consid. 3.3), ni le fait de prévoir l'attaque et de s'y préparer, sans toutefois y inciter (ATF 102 IV 228 consid. 2 p. 230). Dans ce dernier arrêt, le Tribunal fédéral a jugé que le fait que la personne agressée ait prévu qu'elle serait peut-être attaquée ne l'obligeait pas à éviter la confrontation. Comme elle n'avait pas intentionnellement provoqué son agresseur, il ne pouvait lui être reproché d'avoir pris un couteau, qu'elle n'avait amené que par précaution (arrêt du Tribunal fédéral 6B_130/2017 du 27 février 2018 consid. 3.1 = SJ 2018 I 385). 2.7.1. En l’espèce, il convient tout d’abord d’établir les faits qui se sont produits le 19 octobre 2017. À cet égard, la CPAR retient que les nombreux témoins entendus ont tous rapporté leur vision des événements, qui a été plus ou moins influencée par leurs propres liens avec les protagonistes, voire leur sympathie ou leur animosité envers l’un ou l’autre. Contrairement à ce qu’a retenu le premier juge, il n’y a toutefois pas lieu d’écarter l’une ou l’autre déclaration, mais de les pondérer en fonction de ces allégeances plus ou moins reconnaissables. Sur la base de cette analyse, les faits s’établissent comme suit, nonobstant les quelques variations dans les déclarations. L’appelant était énervé le jour des faits ; plusieurs élèves l’ont constaté lors de son entretien téléphonique avec l’intimé, qui avait été contraint de raccrocher pour ce motif. Lorsqu’il s’est présenté à l’école de sa fille, l’appelant était encore dans cet état d’énervement : des élèves ont entendu les éclats de voix dans le couloir. L’enseignant, qui n’avait pas constaté la présence de l’appelant avant de se retrouver face à lui lorsqu’il s’est rendu à la porte de l’établissement, a signifié à son élève qu’elle ne pouvait pas réintégrer la classe sans changer de tenue. L’appelant s’est emporté et a forcé le passage en insérant son pied dans la porte de l’immeuble et en suivant l’intimé jusqu’à la salle de classe, accompagné de sa fille. Arrivé dans sa classe, l’enseignant a voulu fermer la porte (qui s’ouvrait à l’extérieur) derrière lui et l’a tirée ; l’appelant l’a retenue et les parties se sont donc retrouvées de part et d’autre de celle-ci : l’appelant cherchait à maintenir la porte ouverte tandis que l’intimé voulait la fermer. La fille de l’appelant s’est trouvée, pendant un instant, coincée entre la porte et le chambranle, ce dont, dans l’excitation du moment, l’enseignant ne semble pas s’être rendu compte. En tirant la porte à lui, l’appelant a emporté l’intimé, qui tenait la poignée, à l’extérieur de la classe ; celui-ci a alors vraisemblablement fait un geste en direction du prévenu, qui a été perçu par plusieurs élèves comme un coup en direction de celui-ci. L’appelant lui a alors porté plusieurs coups de poing, occasionnant les lésions constatées par les médecins, avant que les élèves ne séparent les protagonistes et que l’appelant ne quitte finalement les lieux. 2.7.2. Sur la base des faits ainsi établis, l’appelant a clairement violé plusieurs règles applicables à toute interaction scolaire (cf. notamment l’art. 16 al. 2 du Règlement de l'enseignement secondaire II et tertiaire B [REST], qui fixe les modalités de contact entre parents en enseignants). Il a interrompu un enseignant dans son activité ; le fait qu’il ait alors été accompagné de sa fille, élève dudit enseignant, n’excuse ni ne justifie ce comportement : au contraire, en sa qualité de parent et responsable légal, il lui appartenait d’amener celle-ci à respecter les règles scolaires. Il ne prétend en particulier pas avoir ignoré la règle vestimentaire à l’origine du renvoi de sa fille, étant relevé que les faits se sont produits alors que les cours avaient commencé depuis plusieurs semaines. Au surplus, si l’appelant entendait contester le bien-fondé de l’interdiction des pulls à capuche, il pouvait le faire par d’autres moyens et surtout à un moment plus opportun, sans déranger l’enseignant dans son cours. L’envoi d’une lettre, reçue la veille, ne justifie pas son irruption à l’école en dehors de tout rendez-vous convenu, en plein déroulement d’un cours. À cet égard, il ne peut être reproché à l’intimé d’être entré en interaction avec l’appelant et sa fille, en sortant de sa classe pour ce faire ; un rappel à la règle entrait dans ses fonctions, ce d’autant plus que son élève, en se présentant à l’extérieur de la classe de façon visible par ses congénères, avait déjà perturbé son cours. L’appelant ne s’est toutefois pas contenté de cette interruption déplacée. Au contraire, alors que l’enseignant lui avait clairement signifié qu’il n’était pas disposé à interrompre plus longuement son cours pour s’entretenir avec lui, l’appelant l’a poursuivi jusque devant la salle de classe, en élevant la voix et manifestant son mécontentement. Un tel comportement, qui constitue une intrusion dans le cadre scolaire, est à nouveau constitutif d’une violation claire de ses obligations de parent d’élève, et, de surcroît, d’une agression à l’encontre de l’enseignant. En effet, en s’introduisant dans le bâtiment fermé et dont l’accès ne lui était pas autorisé, puis en poursuivant le plaignant dans le couloir tout en élevant la voix à son égard, l’appelant a adopté un comportement agressif et déplacé. Enfin, arrivé devant la classe, le fait de s’opposer à la fermeture de la porte a encore aggravé l’agression puisqu’il a fait physiquement obstacle au travail de l’enseignant, en l’empêchant de fermer la porte de son lieu de travail et donc de reprendre son activité. Dans ces circonstances, l’intimé était parfaitement légitimé à chercher à fermer la porte du local. La présence malencontreuse de la fille du plaignant (qui violait elle-même les règles scolaires en s’imposant dans la salle de classe dont elle était renvoyée) dans le chambranle de la porte, n’a pas été perçue par son enseignant et ne justifie pas la violence dont son père a fait preuve. Il importe ainsi peu que l’intimé ait, ou non, dans ce contexte, porté un coup à l’appelant ou qu’il l’ait saisi par le col, comme décrit par l’un ou l’autre témoin. En effet, dans le contexte de cette altercation, l’intimé était en position de se défendre dès le moment où l’appelant a pénétré sans droit dans les locaux. Celui-ci ayant de surcroît fait usage de la force à l’égard du plaignant, en tirant la porte de la classe pour en empêcher la fermeture, il ne peut se prévaloir des gestes de défense du plaignant pour invoquer la légitime défense à son compte. Au contraire, les coups qu’il a ensuite indubitablement portés à l’intimé constituent la culmination d’une agression qui a débuté dans le couloir de l’établissement scolaire, lorsque l’appelant y a pénétré sans droit et par la force. L’appelant ne met par ailleurs pas sérieusement en doute que les coups qu’il a portés, au vu et au su des élèves présents, sont à l’origine des lésions présentées par l’enseignant, étant rappelé que plusieurs élèves ont vu celui-ci saigner immédiatement après l’altercation. Ce comportement réalise donc bien les éléments constitutifs de l’art. 285 CP, par l’entrave apportée au travail de l’enseignant, qui a dû finalement interrompre son cours, en concours avec des lésions corporelles simples, les lésions occasionnées étant trop importantes pour être qualifiées de voies de fait absorbées par l’art. 285 CP ou permettre l’application de l’atténuante de l’art. 123 ch. 1 aCP.</w:t>
      </w:r>
    </w:p>
    <w:p>
      <w:r>
        <w:rPr>
          <w:b/>
        </w:rPr>
        <w:t>E. 2.8</w:t>
      </w:r>
    </w:p>
    <w:p>
      <w:r>
        <w:t>L’appelant conteste avoir traité le plaignant de « pervers », affirmant avoir dit qu’il avait eu un « geste pervers ». Ces propos ont été tenus au cours d’une audience d’instruction au Ministère public, où ils ont été perçus à tout le moins par deux personnes tierces, soit la greffière et l’avocat du plaignant. En l’occurrence, le propos de l’appelant ne contient aucune allégation de fait ; celle-ci émane bien plutôt de sa propre fille, entendue au cours de l’audience. Le terme « pervers » – utilisé seul ou avec le mot « geste » – se comprend comme un commentaire ou un qualificatif par rapport à un comportement prêté à l’intimé par la fille de l’appelant. En utilisant ce terme, néanmoins, l’appelant reprend à son compte le comportement prêté à l’intimé par sa fille, et le qualifie. Le plaignant n’a toutefois pas déposé plainte pour le comportement prêté, mais bien pour l’utilisation du terme « pervers » pour le désigner. Le plaignant a d’ailleurs confirmé aux débats d’appel avoir déposé plainte en raison du caractère injurieux de ce terme. Dans ces circonstances, s’agissant d’un cas limite, les faits doivent être qualifiés d’injure au sens de l’art. 177 CP. Le jugement entrepris sera réformé en ce sens.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 93 IV 7 ; 116 IV 300 consid. 2c/dd ; 144 IV 217 consid. 3.5 ; arrêt du Tribunal fédéral 6B_1216/2017 du 11 juin 2018 consid. 1.1.1), en tenant là aussi compte de toutes les circonstances y relatives (arrêts du Tribunal fédéral 6B_1175/2017 du 11 avril 2018 consid. 2.1 ; 6B_688/2014 du 22 décembre 2017 consid. 27.2.1).</w:t>
      </w:r>
    </w:p>
    <w:p>
      <w:r>
        <w:rPr>
          <w:b/>
        </w:rPr>
        <w:t>E. 3.3</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w:t>
      </w:r>
    </w:p>
    <w:p>
      <w:r>
        <w:rPr>
          <w:b/>
        </w:rPr>
        <w:t>E. 3.4</w:t>
      </w:r>
    </w:p>
    <w:p>
      <w:r>
        <w:t>Selon l'art. 42 al. 4 CP, le juge peut prononcer, en plus du sursis, une amende selon l'art. 106 CP. Celle-ci entre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p. 74 s ; arrêt du Tribunal fédéral 6B_835/2018 du 8 novembre 2018 consid. 3.2). La peine prononcée avec sursis reste prépondérante, alors que l'amende est d'importance secondaire (ATF 134 IV 1 consid. 4.5.2. p. 8).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p. 55 ; arrêt du Tribunal fédéral 6B_952/2016 du 29 août 2017 consid. 3.1).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w:t>
      </w:r>
    </w:p>
    <w:p>
      <w:r>
        <w:rPr>
          <w:b/>
        </w:rPr>
        <w:t>E. 3.5</w:t>
      </w:r>
    </w:p>
    <w:p>
      <w:r>
        <w:t>La faute de l'appelant est sérieuse. Il s'en est pris à l’intégrité physique d’un enseignant, dans une école, pendant les heures de cours et devant ses élèves ; il a ensuite sali l'honneur du plaignant. Ses mobiles sont égoïstes et relèvent d'un comportement colérique mal maîtrisé. Il n'hésite pas à se positionner lui-même en victime. Au lieu d’agir en adulte dans son soutien envers sa fille adolescente au moment des premiers faits, il a pris fait et cause pour elle et s’est laissé guider par son emportement et sa colère. Les difficultés rencontrées par celle-ci ne justifiaient aucunement un tel déchaînement de violence. Il a persisté à nier les faits jusqu’aux débats d’appel. Il n'y a ainsi aucune prise de conscience. Sa collaboration est sans particularité et sa situation personnelle est sans rapport avec les faits. Ses antécédents sont aspécifiques. L'appelant ne conteste pas, au-delà de l'acquittement plaidé, la quotité de la peine pécuniaire fixée par le premier juge, étant relevé que le sursis prononcé lui est acquis (art. 42 al. 1 CP et 391 al. 2 CPP). Les faits les plus graves sont la violence ou menace contre les autorités et les fonctionnaires, infraction poursuivie d’office, qui entraîne une peine de base de 120 jours-amende. Cette peine devrait être aggravée de 45 jours-amende (peine théorique de 60 jours-amende) pour les lésions corporelles simples, et de 15 jours amende (peine théorique de 30 jours-amende) pour l’injure. La CPAR est toutefois liée par l’interdiction de la reformatio in peius (art. 391 al. 2 CPP) ainsi que par le maximum légal du genre de la peine (art. 34 et 49 al. 1 dernière phrase CP) ; dans ces circonstances, il n’est pas nécessaire d’examiner les conséquences du concours rétrospectif et la peine de 150 jours-amende fixée par le premier juge, qui apparaît clémente, sera confirmée. Le montant du jour-amende ainsi que la durée du délai d’épreuve sont adéquats et seront également confirmés, tout comme la non-révocation du sursis antérieur. Compte tenu des antécédents de l’appelant, de son absence totale de prise de conscience et des injures proférées contre le plaignant en cours de procédure, qui démontrent la persistance de son agressivité à son égard, il se justifie d’assortir cette peine pécuniaire d’une amende à titre de sanction immédiate. L’appelant ne critique pas le montant de l’amende, qui a été fixé bien en deçà du montant de la quotité retenue par la jurisprudence. L’amende de CHF 600.- est ainsi confirmée.</w:t>
      </w:r>
    </w:p>
    <w:p>
      <w:r>
        <w:rPr>
          <w:b/>
        </w:rPr>
        <w:t>E. 4.1</w:t>
      </w:r>
    </w:p>
    <w:p>
      <w:r>
        <w:t>Conformément à l'art. 122 al. 1 CPP, la personne lésée peut, dans le cadre d'une procédure pénale, en tant que partie civile contre l'accusé, faire valoir les droits civils découlant de l'infraction par voie d'adhésion. Le tribunal statue également sur les conclusions civiles présentées lorsqu'il rend un verdict de culpabilité à l'encontre du prévenu (art. 126 let. a CPP).</w:t>
      </w:r>
    </w:p>
    <w:p>
      <w:r>
        <w:rPr>
          <w:b/>
        </w:rPr>
        <w:t>E. 4.2</w:t>
      </w:r>
    </w:p>
    <w:p>
      <w:r>
        <w:t>Aux termes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w:t>
      </w:r>
    </w:p>
    <w:p>
      <w:r>
        <w:rPr>
          <w:b/>
        </w:rPr>
        <w:t>E. 4.3</w:t>
      </w:r>
    </w:p>
    <w:p>
      <w:r>
        <w:t>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w:t>
      </w:r>
    </w:p>
    <w:p>
      <w:r>
        <w:rPr>
          <w:b/>
        </w:rPr>
        <w:t>E. 4.4</w:t>
      </w:r>
    </w:p>
    <w:p>
      <w:r>
        <w:t>En l'espèce, l’appelant conteste, à titre subsidiaire, le montant de l’indemnité pour tort moral allouée au plaignant. Il est toutefois indéniable que le plaignant a subi, en conséquence des agissements commis par l'appelant à son encontre, une atteinte à sa santé physique et psychique méritant réparation. L’agression dont il a été victime sur son lieu de travail, devant ses élèves, l’a visiblement éprouvé et justifie une indemnisation. Le montant de CHF 1'000.- accordé par le premier juge apparaît adéquat et sera donc confirmé.</w:t>
      </w:r>
    </w:p>
    <w:p>
      <w:r>
        <w:rPr>
          <w:b/>
        </w:rPr>
        <w:t>E. 5</w:t>
      </w:r>
    </w:p>
    <w:p>
      <w:r>
        <w:t>5.1. 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(arrêts du Tribunal fédéral 6B_549/2015 du 16 mars 2016 consid. 2.3 in SJ 2017 I 37). La partie plaignante obtient gain de cause au sens de l'art. 433 al. 1 CPP lorsque le prévenu est condamné et/ou si les prétentions civiles sont admises. Il importe à cet égard peu que la qualification juridique retenue diffère : si le complexe de fait dénoncé par la partie plaignante entraîne une condamnation, celle-ci obtient gain de cause (arrêt du Tribunal fédéral 6B_423/2016 du 26 janvier 2017). La Cour de justice applique au chef d'étude un tarif horaire de CHF 450.- (arrêt du Tribunal fédéral 2C_725/2010 du 31 octobre 2011 = SJ 2012 I 172).</w:t>
      </w:r>
    </w:p>
    <w:p>
      <w:r>
        <w:rPr>
          <w:b/>
        </w:rPr>
        <w:t>E. 5.2</w:t>
      </w:r>
    </w:p>
    <w:p>
      <w:r>
        <w:t>En l'espèce, l'appelant ne critique pas l'allocation à la partie plaignante de ses conclusions civiles en indemnisation au-delà de l'acquittement plaidé, de sorte que le jugement sera confirmé sur ces points également.</w:t>
      </w:r>
    </w:p>
    <w:p>
      <w:r>
        <w:rPr>
          <w:b/>
        </w:rPr>
        <w:t>E. 5.3</w:t>
      </w:r>
    </w:p>
    <w:p>
      <w:r>
        <w:t>Les conclusions de l’intimé pour la procédure d’appel seront admises dans leur principe. Les trois heures consacrées à la demande de non-entrée en matière seront toutefois écartées, dans la mesure où il eût été aisé de vérifier que l’appel avait été formé en temps utile, par exemple par une simple demande au greffe du TP ou de la CPAR quant à la date de la notification du jugement entrepris. Les frais de tenue du dossier, non justifiés, seront également écartés. C’est donc une indemnité de CHF 5'221.20, correspondant à 10h10 d’activité au taux de CHF 450.- de l’heure, plus les frais et la TVA au taux de 7.7 % (soit CHF 78.45) respectivement de 8.1 % (soit CHF 309.-) qui sera allouée à l’intimé pour la procédure d’appel.</w:t>
      </w:r>
    </w:p>
    <w:p>
      <w:r>
        <w:rPr>
          <w:b/>
        </w:rPr>
        <w:t>E. 6</w:t>
      </w:r>
    </w:p>
    <w:p>
      <w:r>
        <w:t>L'appelant, qui obtient gain de cause sur une question de qualification juridique qu’il n’avait pas plaidée, supportera 90% des frais de la procédure envers l'État (art. 428 CPP). Compte tenu du caractère peu important de la modification apportée, il n’y a pas lieu de revoir la répartition des frais de la procédure préliminaire et de première instance.</w:t>
      </w:r>
    </w:p>
    <w:p>
      <w:r>
        <w:rPr>
          <w:b/>
        </w:rPr>
        <w:t>E. 7</w:t>
      </w:r>
    </w:p>
    <w:p>
      <w:r>
        <w:t>6. L’avocat recourant fait valoir qu’il était justifié de voir son client tous les deux mois, compte tenu de son « angoisse ». Cet argument n’emporte pas conviction. Le conseil juridique d’une partie n’a ni vocation thérapeutique ni compétence en la matière. C’est uniquement lorsque le prévenu se trouve en détention que, pour des motifs humanitaires essentiellement, l’assistance judiciaire accepte de prendre en charge un entretien mensuel. En l’occurrence, rien ne justifiait des entretiens réguliers entre l’avocat et son client, en dehors des cinq audiences (quatre au MP et une au TP), voire encore au moment de la notification de l’ordonnance pénale. En allouant neuf entretiens, de surcroît d’une durée d’une heure chacun, le TP a été très magnanime, tenant largement compte de la durée de la procédure. Il n’y a pas lieu d’aller au-delà. De même, rien ne justifiait des déplacements au MP ou au Tribunal, notamment pour la consultation de la procédure : un simple demande écrite, couverte par le forfait pour activités diverses, aurait suffi pour demander la délivrance d’une copie complète, étant relevé qu’on peine à comprendre pourquoi le conseil du prévenu a eu besoin, à quelques semaines d’intervalle, d’une seconde copie. L’allocation de sept déplacements, soit deux supplémentaires par rapport aux déplacements en audience, est à nouveau très large et rien ne justifie d’en allouer plus, étant relevé que le conseil du recourant ne discute pas ce point de la décision entreprise. En conclusion, le recours formé par le conseil du prévenu est partiellement admis, et l’indemnisation sera augmentée de CHF 3'949.-.</w:t>
      </w:r>
    </w:p>
    <w:p>
      <w:r>
        <w:rPr>
          <w:b/>
        </w:rPr>
        <w:t>E. 7.1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7.4</w:t>
      </w:r>
    </w:p>
    <w:p>
      <w:r>
        <w:t>En l'occurrence, le TP a omis d’indemniser les différentes audiences auxquelles l’avocat a participé, tout en indemnisant les déplacements y relatifs. Il faut remédier à cette carence, qui découle manifestement d’une méprise. Il convient donc de compléter l’indemnisation avec 16 heures et 40 minutes (et non 17h45 comme le retient à tort le recourant, qui allonge de 65 minutes la durée de l’audience de première instance) au taux de CHF 200.-, plus l’indemnisation forfaitaire de 10% et la TVA au taux de 7.7 % en CHF 282.35, pour un total de CHF 3'949.-.</w:t>
      </w:r>
    </w:p>
    <w:p>
      <w:r>
        <w:rPr>
          <w:b/>
        </w:rPr>
        <w:t>E. 7.5</w:t>
      </w:r>
    </w:p>
    <w:p>
      <w:r>
        <w:t>. La procédure d’instruction au MP a duré relativement longtemps, puisqu’elle a été ouverte le 20 novembre 2017 et s’est clôturée par une ordonnance pénale le 30 juin 2022. Compte tenu du classement initial de la procédure, contesté avec succès par le plaignant, l’instruction proprement dite n’a toutefois débuté qu’en janvier 2019 ; l’avocat du prévenu n’est intervenu qu’après cette date et l’a assisté aux quatre audiences d’instruction. La procédure d’instruction comporte en tout et pour tout un petit classeur, constitué essentiellement des procès-verbaux d’audience, qui tiennent sur 37 pages, annexes comprises. Le rapport de police et ses annexes en comportent un peu plus, mais nombre de celles-ci sont des pièces de forme (droits de la personne auditionnée etc.). C’est dire que le dossier est peu volumineux. En allouant au conseil du prévenu 16 heures de lecture et étude de dossier, le TP a à nouveau fait preuve d’une grande générosité, ce d’autant que cet avocat avait assisté à toutes les audiences et connaissait donc parfaitement la teneur des procès-verbaux.</w:t>
      </w:r>
    </w:p>
    <w:p>
      <w:r>
        <w:rPr>
          <w:b/>
        </w:rPr>
        <w:t>E. 7.7</w:t>
      </w:r>
    </w:p>
    <w:p>
      <w:r>
        <w:t>Pour la procédure d’appel, le conseil du prévenu fait à nouveau valoir six entretiens avec son mandant, d’une durée totale de sept heures et demie, ce qui est manifestement excessif. Deux entretiens, d’une durée totale d’une heure et demie, suffisent à discuter du principe de l’appel et à préparer les débats ; seule cette durée sera prise en compte et indemnisée, la moitié en 2023 et l’autre en 2024. Le conseil du prévenu fait par ailleurs valoir 1h15 d’activité de lecture et étude du dossier en 2023, soit essentiellement lors de la notification du jugement de première instance voire de la rédaction de la déclaration d’appel. Or, ces activités sont couvertes par l’indemnisation forfaitaire et seront donc écartées. De même, le conseil de l’appelant fait valoir des activités de lecture du dossier entre janvier et avril 2024, qui seront écartées, entrant dans l’indemnisation forfaitaire. Il fait valoir 8h45 d’activité de préparation des débats d’appel, durée manifestement excessive au vu de la relative simplicité du dossier connu pour avoir été suivi dès le début de l’instruction et plaidé en première instance, et deux déplacements d’une heure chacun. Seules seront prises en compte à ce titre quatre heures d’activité. La durée de l’audience d’appel, et un forfait déplacement seront ajoutés, étant relevé que dans la mesure où toutes les pièces sont transmises au fur et à mesure ou sur simple appel au greffe, une consultation de la procédure au greffe de la CPAR à la veille de l’audience était superflue et injustifiée. En conclusion, la rémunération sera arrêtée à CHF 2010.- correspondant à huit heures d'activité au tarif de CHF 200.-/heure plus la majoration forfaitaire de 10%, un forfait déplacement de CHF 100.- et l'équivalent de la TVA au taux de 7.7% en CHF 12.70 et au taux de 8.1% en CHF 137.30.</w:t>
      </w:r>
    </w:p>
    <w:p>
      <w:r>
        <w:rPr>
          <w:b/>
        </w:rPr>
        <w:t>E. 7.8</w:t>
      </w:r>
    </w:p>
    <w:p>
      <w:r>
        <w:t>. Reste à statuer sur les frais et indemnité de la procédure de recours.</w:t>
      </w:r>
    </w:p>
    <w:p>
      <w:r>
        <w:rPr>
          <w:b/>
        </w:rPr>
        <w:t>E. 7.8.1</w:t>
      </w:r>
    </w:p>
    <w:p>
      <w:r>
        <w:t>Le recourant, qui succombe pour l'essentiel (art. 428 al. 1 CPP), sera condamné aux trois quarts des frais de la procédure de recours, fixés en totalité à CHF 1’000.- (art. 3 cum 13 al. 1 du Règlement fixant le tarif des frais en matière pénale, RTFMP), le solde étant laissé à la charge de l'État.</w:t>
      </w:r>
    </w:p>
    <w:p>
      <w:r>
        <w:rPr>
          <w:b/>
        </w:rPr>
        <w:t>E. 7.8.2</w:t>
      </w:r>
    </w:p>
    <w:p>
      <w:r>
        <w:t>Le défenseur d'office a droit à des dépens lorsqu'il conteste avec succès une décision statuant sur ses honoraires (ATF 125 II 518 consid. 5; arrêts du Tribunal fédéral 6B_1251/2016 du 19 juillet 2017 consid. 4). En l’occurrence, l’omission du poste « audiences » relève manifestement d’une malencontreuse erreur (ce que confirme d’ailleurs l’octroi d’un forfait de 10% alors que moins de 30 heures ont été indemnisées). On peut se demander si l’avocat n’aurait pas été en mesure d’en obtenir la rectification par la voie de l’art. 83 CPP. En tout état de cause, ses développements sont largement excessifs. Le recourant ne chiffre pas de prétention en indemnité dans son recours. La rédaction de celui-ci lui ayant néanmoins permis d'obtenir une augmentation partielle de son indemnité, une somme de CHF 400.- TTC lui sera allouée, ex aequo et bono. Conformément à l'art. 442 al. 4 CPP, ce montant sera compensé à due concurrence avec la part des frais mise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