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P/23708/2014 vom 1. Juli 2022</w:t>
      </w:r>
    </w:p>
    <w:p>
      <w:r>
        <w:t>GE Cour de justice, 2022-07-01, FR</w:t>
      </w:r>
    </w:p>
    <w:p>
      <w:r>
        <w:rPr>
          <w:b/>
        </w:rPr>
        <w:t xml:space="preserve">Quelle: </w:t>
      </w:r>
      <w:r>
        <w:t>https://mcp.opencaselaw.ch/entscheid/ge_gerichte_P_23708_2014</w:t>
      </w:r>
    </w:p>
    <w:p>
      <w:r>
        <w:t>FR: GE_GERICHTE P/23708/2014 du 1 juillet 2022</w:t>
      </w:r>
    </w:p>
    <w:p>
      <w:r>
        <w:t>IT: GE_GERICHTE P/23708/2014 del 1 luglio 2022</w:t>
      </w:r>
    </w:p>
    <w:p>
      <w:pPr>
        <w:pStyle w:val="Heading2"/>
      </w:pPr>
      <w:r>
        <w:t>Regeste</w:t>
      </w:r>
    </w:p>
    <w:p>
      <w:r>
        <w:t>SÉQUESTRE(MESURE PROVISIONNELLE);DÉCISION;SOUPÇON | CPP.263</w:t>
      </w:r>
    </w:p>
    <w:p>
      <w:pPr>
        <w:pStyle w:val="Heading2"/>
      </w:pPr>
      <w:r>
        <w:t>Erwägungen</w:t>
      </w:r>
    </w:p>
    <w:p>
      <w:r>
        <w:rPr>
          <w:b/>
        </w:rPr>
        <w:t>E. 1</w:t>
      </w:r>
    </w:p>
    <w:p>
      <w:r>
        <w:t>Le recours est recevable pour avoir été déposé selon la forme et dans le délai utiles (art. 385 al. 1 et 396 al. 1 CPP), concerner une ordonnance de refus de séquestre, décision sujette à contestation auprès de la Chambre de céans (art. 393 al. 1 let. a CPP; arrêt du Tribunal fédéral 1B_34/2014 du 15 avril 2014 consid. 2), et émaner du plaignant qui, partie à la procédure (art. 104 al. 1 let. b CPP), a qualité pour agir, ayant un intérêt juridiquement protégé (art. 115 cum 382 CPP) à ce que le débiteur de la possible future créance compensatrice – susceptible de lui être allouée dans le jugement pénal – conserve ses biens (ATF 140 IV 57 consid. 4.2 in fine). ![endif]&gt;![if&gt;</w:t>
      </w:r>
    </w:p>
    <w:p>
      <w:r>
        <w:rPr>
          <w:b/>
        </w:rPr>
        <w:t>E. 2</w:t>
      </w:r>
    </w:p>
    <w:p>
      <w:r>
        <w:t>Le recourant sollicite le séquestre des indemnités de la gérance du restaurant. ![endif]&gt;![if&gt;</w:t>
      </w:r>
    </w:p>
    <w:p>
      <w:r>
        <w:rPr>
          <w:b/>
        </w:rPr>
        <w:t>E. 2.1</w:t>
      </w:r>
    </w:p>
    <w:p>
      <w:r>
        <w:t>Selon l'art. 263 al. 1 CPP, des objets et valeurs patrimoniales appartenant au prévenu ou à des tiers peuvent être mis sous séquestre, notamment lorsqu'il est probable qu'ils seront utilisés comme moyens de preuves (let. a), qu'ils devront être restitués au lésé (let. c) ou qu'ils devront être confisqués (let. d). L'art. 71 al. 3 CP, permet par ailleurs à l'autorité d'instruction de placer sous séquestre, en vue de l'exécution d'une créance compensatrice, des éléments du patrimoine de la personne concernée, par quoi il faut entendre non seulement l'auteur, mais aussi, à certaines conditions, un tiers favorisé, d'une manière ou d'une autre, par l'infraction (cf. art. 71 al. 1 CP renvoyant à l'art. 70 al. 2 CP; arrêts du Tribunal fédéral 1B_213/2013 du 27 septembre 2013 consid. 4.1; 1B_583/2012 du 31 janvier 2013 consid. 2.1 et les références citées).![endif]&gt;![if&gt;</w:t>
      </w:r>
    </w:p>
    <w:p>
      <w:r>
        <w:rPr>
          <w:b/>
        </w:rPr>
        <w:t>E. 2.2</w:t>
      </w:r>
    </w:p>
    <w:p>
      <w:r>
        <w:t>En raison de l'atteinte portée aux droits fondamentaux des personnes visées, le séquestre suppose le respect des conditions générales fixées à l'art. 197 CPP. Conformément à cette disposition, toute mesure de contrainte doit être prévue par la loi (al. 1 let. a), doit répondre à l'existence de soupçons suffisants laissant présumer une infraction (al. 1 let. b), doit respecter le principe de la proportionnalité (al. 1 let. c) et doit apparaître justifiée au regard de la gravité de l'infraction (al. 1 let. d). Si la mesure porte atteinte aux droits fondamentaux de personnes qui n'ont pas le statut de prévenu, une retenue particulière doit être observée (art. 197 al. 2 CPP).![endif]&gt;![if&gt;</w:t>
      </w:r>
    </w:p>
    <w:p>
      <w:r>
        <w:rPr>
          <w:b/>
        </w:rPr>
        <w:t>E. 2.3</w:t>
      </w:r>
    </w:p>
    <w:p>
      <w:r>
        <w:t>La restitution au lésé (art. 263 al. 1 let. c CPP) vise, en première ligne, les objets provenant directement du patrimoine du lésé, qui doit être identifié, et tend au rétablissement de ses droits absolus. La restitution doit porter sur des valeurs patrimoniales qui sont le produit d'une infraction dont le lésé a été lui-même victime. Il doit notamment exister entre l'infraction et l'obtention des valeurs patrimoniales un lien de causalité tel que la seconde apparaisse comme la conséquence directe et immédiate de la première (ATF 129 II 453 consid. 4.1; 140 IV 57 consid. 4.1 et les nombreuses références citées). C'est, en particulier, le cas lorsque l'obtention des valeurs patrimoniales est l'un des éléments constitutifs de l'infraction ou constitue un avantage direct découlant de la commission de l'infraction (ATF 126 I 97 consid. 3c/cc). Lorsque ces conditions sont réunies, la restitution doit avoir lieu sans égard aux autres créanciers ou lésés (ATF 128 I 129 consid. 3.1.2).![endif]&gt;![if&gt;</w:t>
      </w:r>
    </w:p>
    <w:p>
      <w:r>
        <w:rPr>
          <w:b/>
        </w:rPr>
        <w:t>E. 2.4</w:t>
      </w:r>
    </w:p>
    <w:p>
      <w:r>
        <w:t>En l'espèce, le recourant soutient que la faillite de la société E______ Sàrl, qui a mis un terme au contrat de gérance libre courant jusqu'à août 2018, lui aurait causé un dommage de CHF 300'000.- (perte de chiffre d'affaires et garantie de loyer). ![endif]&gt;![if&gt; Or, la mise en prévention de C______ pour faux dans les titres et tentative d'escroquerie ne vise pas les circonstances de la faillite de l'entreprise prononcée par le Tribunal. En admettant l'existence d'un tel dommage, voire même que le prévenu ait informé le Registre du commerce de cette situation dans le but de mettre un terme à la gérance conclue entre le recourant et E______ Sàrl, force est de constater que la faillite, requise par ce Registre, n'est pas due à une activité pénale de C______ mais au non-respect de l'exigence d'un domicile en Suisse par G______ (art. 814 al. 3 CO), laquelle a annoncé son départ de Suisse pour la France dès le 31 mai 2016, à teneur du registre de la population (Calvin). Ainsi, la fin de l'exploitation du restaurant par le recourant n'est pas due à une infraction pénale. Au surplus, aucun des cas de séquestre visés à l'art. 263 al. 1 CPP n'a pour but et fonction de garantir la réparation d'un dommage. En effet, le séquestre pénal en vue de garantir de telles prétentions (« Geschädigtenarrest » ; N. SCHMID / D. JOSITSCH, Schweizerische Strafprozessordnung : Praxiskommentar , 3 e éd., Zurich 2018, n. 2 ad art. 268) est exclu de manière générale (Message relatif à l'unification du droit de la procédure pénale (CPP) du 21 décembre 2005, FF 2006 1229). Justifiée, la décision querellée sera donc confirmée.</w:t>
      </w:r>
    </w:p>
    <w:p>
      <w:r>
        <w:rPr>
          <w:b/>
        </w:rPr>
        <w:t>E. 3</w:t>
      </w:r>
    </w:p>
    <w:p>
      <w:r>
        <w:t>Le recourant, qui succombe, supportera les frais de la procédure envers l'État qui seront fixés en totalité à CHF 1'000.- (art. 428 al. 1 CPP et art. 13 al. 1 du règlement fixant le tarif des frais en matière pénale).![endif]&gt;![if&gt;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