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P/23685/2019 vom 4. Juni 2020</w:t>
      </w:r>
    </w:p>
    <w:p>
      <w:r>
        <w:t>GE Cour de justice, 2020-06-04, FR</w:t>
      </w:r>
    </w:p>
    <w:p>
      <w:r>
        <w:rPr>
          <w:b/>
        </w:rPr>
        <w:t xml:space="preserve">Quelle: </w:t>
      </w:r>
      <w:r>
        <w:t>https://mcp.opencaselaw.ch/entscheid/ge_gerichte_P_23685_2019</w:t>
      </w:r>
    </w:p>
    <w:p>
      <w:r>
        <w:t>FR: GE_GERICHTE P/23685/2019 du 4 juin 2020</w:t>
      </w:r>
    </w:p>
    <w:p>
      <w:r>
        <w:t>IT: GE_GERICHTE P/23685/2019 del 4 giugno 2020</w:t>
      </w:r>
    </w:p>
    <w:p>
      <w:pPr>
        <w:pStyle w:val="Heading2"/>
      </w:pPr>
      <w:r>
        <w:t>Regeste</w:t>
      </w:r>
    </w:p>
    <w:p>
      <w:r>
        <w:t>VOL(DROIT PÉNAL);FIXATION DE LA PEINE;ANTÉCÉDENT | CP.144; CP.139; LEI.115.al1.letb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Au sens de l'art. 10 al. 2 CPP, le tribunal apprécie librement les preuves recueillies selon l'intime conviction qu'il retire de l'ensemble de la procédure. Le tribunal doit réaliser une appréciation d'ensemble et forger sa conviction sur la base de tous les éléments et indices du dossier, qui doivent être examinés et évalués dans leur ensemble (arrêts du Tribunal fédéral 6B_1169/2017 du 15 juin 2018 consid. 1.1 ; 6B_608/2017 du 12 avril 2018 consid. 3.1 et les références).</w:t>
      </w:r>
    </w:p>
    <w:p>
      <w:r>
        <w:rPr>
          <w:b/>
        </w:rPr>
        <w:t>E. 2.2</w:t>
      </w:r>
    </w:p>
    <w:p>
      <w:r>
        <w:t>En l'espèce, la CPAR considère comme établi que l'appelant a, conformément à ses déclarations et à celles du témoin, cassé une vitre de la voiture appartenant à la partie plaignante. L'appelant a, de façon constante, nié avoir conjointement avec D______, dérobé le routeur. Ce dernier ne le conteste plus, étant relevé que, l'objet volé ayant été retrouvé dans sa poche, ses dénégations n'étaient en tout état pas crédibles. Prétextant avoir oublié la raison de ses gestes en raison de l'alcool, l'appelant n'a livré aucune explication sur la raison pour laquelle il a brisé la vitre de la voiture. En réalité, il ne cherchait pas autre chose qu'à rendre accessible, pour lui-même ou son acolyte, l'habitacle. Il est dès lors établi que la participation de l'appelant au vol était décisive, que ce soit en prenant lui-même l'objet dans la voiture ou en permettant par ses agissements à son acolyte de le faire.</w:t>
      </w:r>
    </w:p>
    <w:p>
      <w:r>
        <w:rPr>
          <w:b/>
        </w:rPr>
        <w:t>E. 2.3</w:t>
      </w:r>
    </w:p>
    <w:p>
      <w:r>
        <w:t>Commet un vol au sens de l'art. 139 CP, celui qui, pour se procurer ou procurer à un tiers un enrichissement illégitime, aura soustrait une chose mobilière appartenant à autrui dans le but de se l'approprier.</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(ATF 135 IV 152 consid. 2.3.1 p. 155 ; 130 IV 58 consid. 9.2.1 p. 66 ; 125 IV 134 consid. 3a p. 136 et les références citées). Une personne peut être considérée comme auteur d'une infraction, même si elle n'en est pas l'auteur direct, c'est-à-dire si elle n'a pas accompli elle-même tous les actes décrits dans la disposition pénale (ATF 120 IV 17 consid. 2d p. 23 s.).</w:t>
      </w:r>
    </w:p>
    <w:p>
      <w:r>
        <w:rPr>
          <w:b/>
        </w:rPr>
        <w:t>E. 2.5</w:t>
      </w:r>
    </w:p>
    <w:p>
      <w:r>
        <w:t>En l'espèce, le routeur de la partie plaignante a été soustrait. Que ce soit l'appelant lui-même ou son comparse qui ait réalisé la soustraction n'est pas déterminant pour l'examen de la culpabilité de l'appelant. Sans le bris à tout le moins une fenêtre de la voiture pour accéder à l'habitacle, la soustraction n'aurait pas été possible, de sorte qu'il doit être retenu que l'appelant a ainsi en tout état et a minima collaboré de manière déterminante à la réalisation de l'infraction. Sa culpabilité pour vol sera dès lors confirmée.</w:t>
      </w:r>
    </w:p>
    <w:p>
      <w:r>
        <w:rPr>
          <w:b/>
        </w:rPr>
        <w:t>E. 3.1</w:t>
      </w:r>
    </w:p>
    <w:p>
      <w:r>
        <w:t>La peine menace de l'infraction de vol est une peine privative de liberté de cinq ans au plus ou une peine pécuniaire, tandis que celle du dommage à la propriété est une peine privative de liberté de trois ans au plus ou une peine pécuniaire. Le séjour illégal est quant à lui puni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Les antécédents judiciaires ne sauraient conduire à une augmentation massive de la peine parce que cela reviendrait à condamner une deuxième fois pour des actes déjà jugés (ATF 120 IV 136 consid. 3b p. 145). Une série d'infractions semblables pèse plus lourd que des actes de nature différente. En outre, les condamnations passées perdent de leur importance avec l'écoulement du temps (ATF 135 IV 87 consid. 2 p. 89).</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prononcé d'une peine d'ensemble en application du principe de l'aggravation prévu à l'art. 49 CP suppose que le juge choisisse, dans le cas concret, le même genre de peine pour sanctionner chaque infraction commise (ATF 144 IV 317 consid. 1.1.1 p. 316 ; 144 IV 217 consid. 2.2 p. 219 s.; 142 IV 265 IV 2.3.2 p. 267 s.; 138 IV 120 consid. 5.2 p. 122).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Dans un second temps, il augmentera cette peine pour sanctionner chacune des autres infractions, en tenant compte là aussi de toutes les circonstances y relatives (ATF 144 IV 313 consid. 1.1.2 p. 317 ; 127 IV 101 consid. 2b p. 104 ; 93 IV 7 ; plus récemment arrêt du Tribunal fédéral 6B_776/2019 du 20 novembre 2019 consid. 4.1).</w:t>
      </w:r>
    </w:p>
    <w:p>
      <w:r>
        <w:rPr>
          <w:b/>
        </w:rPr>
        <w:t>E. 3.5</w:t>
      </w:r>
    </w:p>
    <w:p>
      <w:r>
        <w:t>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(ATF 143 IV 264 consid. 2.6).</w:t>
      </w:r>
    </w:p>
    <w:p>
      <w:r>
        <w:rPr>
          <w:b/>
        </w:rPr>
        <w:t>E. 3.6</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(ATF 141 IV 61 consid. 6.3.2 ; ATF 135 IV 191 consid. 3.1 ; arrêt du Tribunal fédéral 6B_353/2016 du 30 mars 2017 consid. 3.2).</w:t>
      </w:r>
    </w:p>
    <w:p>
      <w:r>
        <w:rPr>
          <w:b/>
        </w:rPr>
        <w:t>E. 3.7</w:t>
      </w:r>
    </w:p>
    <w:p>
      <w:r>
        <w:t>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w:t>
      </w:r>
    </w:p>
    <w:p>
      <w:r>
        <w:rPr>
          <w:b/>
        </w:rPr>
        <w:t>E. 3.8</w:t>
      </w:r>
    </w:p>
    <w:p>
      <w:r>
        <w:t>En l'espèce, la faute de l'appelant est loin d'être négligeable. Il a porté atteinte aux règles sur le séjour en Suisse ainsi qu'au patrimoine d'autrui, tant en endommageant une voiture qu'en y soustrayant, par co-activité, un routeur. Si ce dernier a certes été restitué à la partie plaignante, cela n'atténue pas la volonté criminelle de l'appelant. Il persiste à commettre des infractions, malgré ses nombreuses condamnations. Il a deux antécédents récents, ce qui n'est pas insignifiant, contrairement à ce qu'il plaide, et de nombreux plus anciens. Il est tenu compte du fait qu'il est revenu en Suisse contre son gré et qu'il s'est tenu, malgré son refus de collaborer, à disposition des autorités pour son renvoi. Sa collaboration à la procédure est moyenne. Le genre de peine, pour chacune des infractions, déterminé par le premier juge, à savoir la peine privative de liberté, n'est, à juste titre, pas remis en cause. Au vu de ce qui précède, la peine de base pour le vol, infraction la plus grave, sera fixée à six mois de peine privative de liberté, la peine de huit mois fixée par le premier juge pour cette infraction paraissant en effet un peu élevée. Elle sera aggravée de deux mois (trois mois de peine hypothétique) pour les dommages à la propriété et de deux mois (trois mois de peine hypothétique) pour le séjour illégal. Les motifs ayant conduit le premier juge à prononcer, par ordonnance séparée du 17 février 2020,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supportera les frais de la procédure envers l'État (art. 428 CPP).</w:t>
      </w:r>
    </w:p>
    <w:p>
      <w:r>
        <w:rPr>
          <w:b/>
        </w:rPr>
        <w:t>E. 5</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6.2 En l'occurrence, pris globalement, l'état de frais produit par le conseil de l'appelant paraît adéquat et conforme aux dispositions et principes qui précèdent, de sorte qu'il sera admis sans en reprendre le détail. En conclusion, l'indemnité sera arrêtée à CHF 1'500.88, arrondie à CHF 1'501.- correspondant à 6h d'activité au tarif de CHF 200.-/heure (CHF 1'200.-) plus la majoration forfaitaire de 20 % (CHF 240.-) et l'équivalent de la TVA au taux de 7.7% (CHF 110.88).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