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P/23681/2020 vom 26. Januar 2023</w:t>
      </w:r>
    </w:p>
    <w:p>
      <w:r>
        <w:t>GE Cour de justice, 2023-01-26, FR</w:t>
      </w:r>
    </w:p>
    <w:p>
      <w:r>
        <w:rPr>
          <w:b/>
        </w:rPr>
        <w:t xml:space="preserve">Quelle: </w:t>
      </w:r>
      <w:r>
        <w:t>https://mcp.opencaselaw.ch/entscheid/ge_gerichte_P_23681_2020</w:t>
      </w:r>
    </w:p>
    <w:p>
      <w:r>
        <w:t>FR: GE_GERICHTE P/23681/2020 du 26 janvier 2023</w:t>
      </w:r>
    </w:p>
    <w:p>
      <w:r>
        <w:t>IT: GE_GERICHTE P/23681/2020 del 26 gennaio 2023</w:t>
      </w:r>
    </w:p>
    <w:p>
      <w:pPr>
        <w:pStyle w:val="Heading2"/>
      </w:pPr>
      <w:r>
        <w:t>Regeste</w:t>
      </w:r>
    </w:p>
    <w:p>
      <w:r>
        <w:t>ORDONNANCE PÉNALE;DROIT D'ÊTRE ENTENDU;ASSISTANCE JUDICIAIRE | CPP.354; CPP.319; CPP.136.al2.letc</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par la partie plaignante (art. 104 al. 1 let. b CPP). ![endif]&gt;![if&gt; 1.2.1. En tant que le recourant demande l'annulation de l'ordonnance pénale du 25 novembre 2022, son recours est irrecevable sur ce point, étant précisé que ladite ordonnance est sujette à opposition devant le Ministère public (art. 354 CPP). 1.2.2. En revanche, sa conclusion portant sur un prétendu classement implicite de certaines charges par le Ministère public concerne une décision sujette à contestation auprès de la Chambre de céans (ATF 138 IV 241 consid. 2.5 et 2.6). Le recourant disposant d'un intérêt juridiquement protégé (art. 382 CPP) à l'annulation ou la modification, le recours est recevable sur cet aspect.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En l'espèce, le recourant estime que le Ministère public aurait renoncé à poursuivre le prévenu pour une partie des faits, soit les coups, les étranglements et l'asphyxie. L'ordonnance pénale contiendrait ainsi un classement implicite. Or, force est de constater que dans son ordonnance pénale le Ministère public a reproché au prévenu d'avoir violenté son beau-frère, en lui assénant plusieurs coups de poing et en l'étranglant avec ses deux mains. Il a par ailleurs repris les déclarations des thérapeutes selon lesquelles, le recourant avait développé différents troubles de nature post-traumatique. Dans la partie en droit de l'ordonnance pénale, il est retenu que les faits reprochés sont établis au vu des éléments du dossier, en particulier des différentes déclarations recueillies. Il apparaît dès lors que la version des faits du recourant a été reprise et considérée comme établie par le Ministère public. En revanche, les dénégations du prévenu, qui contestait avoir étranglé son beau-frère, n'ont pas emporté conviction. Par ailleurs, en retenant les symptômes décrits par le recourant – tels que les troubles du sommeil, les reviviscences et les pensées de violence –, le Ministère public a pris en considération l'intensité des actes reprochés au prévenu. Il résulte de ce qui précède que le Ministère public n'a pas rendu une ordonnance de classement implicite. Ce dernier ayant condamné le prévenu de lésions corporelles simples pour l'ensemble des actes reprochés, le grief tiré de la violation du droit d'être entendu tombe à faux. Si le recourant estime qu'une qualification juridique différente s'impose (art. 22 cum art. 111 CP), il lui appartient d'agir par la voie de l'opposition à l'ordonnance pénale, ce qu'il a au demeurant fait.</w:t>
      </w:r>
    </w:p>
    <w:p>
      <w:r>
        <w:rPr>
          <w:b/>
        </w:rPr>
        <w:t>E. 3.4</w:t>
      </w:r>
    </w:p>
    <w:p>
      <w:r>
        <w:t>En conclusion, le recours se révèle infondé et doit être rejeté.</w:t>
      </w:r>
    </w:p>
    <w:p>
      <w:r>
        <w:rPr>
          <w:b/>
        </w:rPr>
        <w:t>E. 4</w:t>
      </w:r>
    </w:p>
    <w:p>
      <w:r>
        <w:t>Le recourant succombe (art. 428, 1 ère et 2 ème phrases, CPP), mais, dans la mesure où l'assistance judiciaire lui a été accordée, il sera exonéré des frais de la procédure (art. 136 al. 2 let. b CPP).</w:t>
      </w:r>
    </w:p>
    <w:p>
      <w:r>
        <w:rPr>
          <w:b/>
        </w:rPr>
        <w:t>E. 5</w:t>
      </w:r>
    </w:p>
    <w:p>
      <w:r>
        <w:t>Il n'y a pas lieu de fixer à ce stade l'indemnité due au conseil juridique gratuit (art. 135 al. 2 et 138 al. 1 CPP), la procédure n'étant pas 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